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A4650" w:rsidRPr="00D86AA7" w:rsidRDefault="004A4650" w:rsidP="004A4650">
      <w:pPr>
        <w:tabs>
          <w:tab w:val="center" w:pos="4536"/>
          <w:tab w:val="right" w:pos="9072"/>
        </w:tabs>
        <w:rPr>
          <w:rFonts w:ascii="Arial" w:eastAsia="Batang" w:hAnsi="Arial" w:cs="Arial"/>
          <w:b/>
          <w:bCs/>
          <w:lang w:val="en-GB"/>
        </w:rPr>
      </w:pPr>
      <w:r w:rsidRPr="00D86AA7">
        <w:rPr>
          <w:rFonts w:ascii="Arial" w:eastAsia="Batang" w:hAnsi="Arial" w:cs="Arial"/>
          <w:b/>
          <w:bCs/>
          <w:lang w:val="en-GB"/>
        </w:rPr>
        <w:t>3GPP TSG RAN WG1 #</w:t>
      </w:r>
      <w:r>
        <w:rPr>
          <w:rFonts w:ascii="Arial" w:eastAsia="Batang" w:hAnsi="Arial" w:cs="Arial"/>
          <w:b/>
          <w:bCs/>
          <w:lang w:val="en-GB"/>
        </w:rPr>
        <w:t>112</w:t>
      </w:r>
      <w:r w:rsidRPr="00D86AA7">
        <w:rPr>
          <w:rFonts w:ascii="Arial" w:eastAsia="Batang" w:hAnsi="Arial" w:cs="Arial"/>
          <w:b/>
          <w:bCs/>
          <w:lang w:val="en-GB"/>
        </w:rPr>
        <w:tab/>
      </w:r>
      <w:r>
        <w:rPr>
          <w:rFonts w:ascii="Arial" w:eastAsia="Batang" w:hAnsi="Arial" w:cs="Arial"/>
          <w:b/>
          <w:bCs/>
          <w:lang w:val="en-GB"/>
        </w:rPr>
        <w:tab/>
      </w:r>
      <w:r w:rsidRPr="00D86AA7">
        <w:rPr>
          <w:rFonts w:ascii="Arial" w:eastAsia="Batang" w:hAnsi="Arial" w:cs="Arial"/>
          <w:b/>
          <w:bCs/>
          <w:lang w:val="en-GB"/>
        </w:rPr>
        <w:t>R1-2</w:t>
      </w:r>
      <w:r>
        <w:rPr>
          <w:rFonts w:ascii="Arial" w:eastAsia="Batang" w:hAnsi="Arial" w:cs="Arial"/>
          <w:b/>
          <w:bCs/>
          <w:lang w:val="en-GB"/>
        </w:rPr>
        <w:t>3</w:t>
      </w:r>
      <w:r w:rsidR="00556DBD">
        <w:rPr>
          <w:rFonts w:ascii="Arial" w:eastAsia="Batang" w:hAnsi="Arial" w:cs="Arial"/>
          <w:b/>
          <w:bCs/>
          <w:lang w:val="en-GB"/>
        </w:rPr>
        <w:t>00391</w:t>
      </w:r>
    </w:p>
    <w:p w:rsidR="004A4650" w:rsidRPr="00DA7B88" w:rsidRDefault="004A4650" w:rsidP="004A4650">
      <w:pPr>
        <w:tabs>
          <w:tab w:val="center" w:pos="4536"/>
          <w:tab w:val="right" w:pos="9072"/>
        </w:tabs>
        <w:rPr>
          <w:rFonts w:ascii="Arial" w:eastAsia="Batang" w:hAnsi="Arial" w:cs="Arial"/>
          <w:b/>
          <w:bCs/>
          <w:lang w:val="en-GB"/>
        </w:rPr>
      </w:pPr>
      <w:r w:rsidRPr="00DA7B88">
        <w:rPr>
          <w:rFonts w:ascii="Arial" w:eastAsia="Batang" w:hAnsi="Arial" w:cs="Arial"/>
          <w:b/>
          <w:bCs/>
          <w:lang w:val="en-GB"/>
        </w:rPr>
        <w:t>Athens, Greece, February 27</w:t>
      </w:r>
      <w:r w:rsidRPr="00DA7B88">
        <w:rPr>
          <w:rFonts w:ascii="Arial" w:eastAsia="Batang" w:hAnsi="Arial" w:cs="Arial"/>
          <w:b/>
          <w:bCs/>
          <w:vertAlign w:val="superscript"/>
          <w:lang w:val="en-GB"/>
        </w:rPr>
        <w:t>th</w:t>
      </w:r>
      <w:r w:rsidRPr="00DA7B88">
        <w:rPr>
          <w:rFonts w:ascii="Arial" w:eastAsia="Batang" w:hAnsi="Arial" w:cs="Arial"/>
          <w:b/>
          <w:bCs/>
          <w:lang w:val="en-GB"/>
        </w:rPr>
        <w:t xml:space="preserve"> – March 3</w:t>
      </w:r>
      <w:r w:rsidRPr="00DA7B88">
        <w:rPr>
          <w:rFonts w:ascii="Arial" w:eastAsia="Batang" w:hAnsi="Arial" w:cs="Arial"/>
          <w:b/>
          <w:bCs/>
          <w:vertAlign w:val="superscript"/>
          <w:lang w:val="en-GB"/>
        </w:rPr>
        <w:t>rd</w:t>
      </w:r>
      <w:r w:rsidRPr="00DA7B88">
        <w:rPr>
          <w:rFonts w:ascii="Arial" w:eastAsia="Batang" w:hAnsi="Arial" w:cs="Arial"/>
          <w:b/>
          <w:bCs/>
          <w:lang w:val="en-GB"/>
        </w:rPr>
        <w:t>, 2023</w:t>
      </w:r>
    </w:p>
    <w:p w:rsidR="00557396" w:rsidRPr="00D86AA7" w:rsidRDefault="00557396" w:rsidP="00557396">
      <w:pPr>
        <w:tabs>
          <w:tab w:val="center" w:pos="4536"/>
          <w:tab w:val="right" w:pos="9072"/>
        </w:tabs>
        <w:rPr>
          <w:rFonts w:ascii="Arial" w:eastAsia="MS Mincho" w:hAnsi="Arial" w:cs="Arial"/>
          <w:b/>
          <w:bCs/>
          <w:lang w:val="en-GB" w:eastAsia="ja-JP"/>
        </w:rPr>
      </w:pPr>
    </w:p>
    <w:p w:rsidR="00557396" w:rsidRPr="00315C6E" w:rsidRDefault="00557396" w:rsidP="00557396">
      <w:pPr>
        <w:pStyle w:val="3GPPHeader"/>
        <w:rPr>
          <w:sz w:val="22"/>
          <w:szCs w:val="22"/>
        </w:rPr>
      </w:pPr>
      <w:r w:rsidRPr="00315C6E">
        <w:rPr>
          <w:sz w:val="22"/>
          <w:szCs w:val="22"/>
        </w:rPr>
        <w:t>Agenda Item:</w:t>
      </w:r>
      <w:r w:rsidRPr="00315C6E">
        <w:rPr>
          <w:sz w:val="22"/>
          <w:szCs w:val="22"/>
        </w:rPr>
        <w:tab/>
      </w:r>
      <w:r>
        <w:rPr>
          <w:sz w:val="22"/>
          <w:szCs w:val="22"/>
        </w:rPr>
        <w:t>9.</w:t>
      </w:r>
      <w:r w:rsidR="00C46EAA">
        <w:rPr>
          <w:sz w:val="22"/>
          <w:szCs w:val="22"/>
        </w:rPr>
        <w:t>1.2</w:t>
      </w:r>
    </w:p>
    <w:p w:rsidR="00557396" w:rsidRPr="00315C6E" w:rsidRDefault="00557396" w:rsidP="00557396">
      <w:pPr>
        <w:pStyle w:val="3GPPHeader"/>
        <w:rPr>
          <w:sz w:val="22"/>
          <w:szCs w:val="22"/>
        </w:rPr>
      </w:pPr>
      <w:r w:rsidRPr="00315C6E">
        <w:rPr>
          <w:sz w:val="22"/>
          <w:szCs w:val="22"/>
        </w:rPr>
        <w:t>Source:</w:t>
      </w:r>
      <w:r w:rsidRPr="00315C6E">
        <w:rPr>
          <w:sz w:val="22"/>
          <w:szCs w:val="22"/>
        </w:rPr>
        <w:tab/>
      </w:r>
      <w:r>
        <w:rPr>
          <w:sz w:val="22"/>
          <w:szCs w:val="22"/>
        </w:rPr>
        <w:t>Google</w:t>
      </w:r>
    </w:p>
    <w:p w:rsidR="00557396" w:rsidRDefault="00557396" w:rsidP="00557396">
      <w:pPr>
        <w:pStyle w:val="3GPPHeader"/>
        <w:rPr>
          <w:sz w:val="22"/>
          <w:szCs w:val="22"/>
        </w:rPr>
      </w:pPr>
      <w:r w:rsidRPr="00315C6E">
        <w:rPr>
          <w:sz w:val="22"/>
          <w:szCs w:val="22"/>
        </w:rPr>
        <w:t>Title:</w:t>
      </w:r>
      <w:r w:rsidRPr="00315C6E">
        <w:rPr>
          <w:sz w:val="22"/>
          <w:szCs w:val="22"/>
        </w:rPr>
        <w:tab/>
      </w:r>
      <w:r>
        <w:rPr>
          <w:sz w:val="22"/>
          <w:szCs w:val="22"/>
        </w:rPr>
        <w:t xml:space="preserve">On </w:t>
      </w:r>
      <w:r w:rsidR="00C46EAA">
        <w:rPr>
          <w:sz w:val="22"/>
          <w:szCs w:val="22"/>
        </w:rPr>
        <w:t>CSI Enhancement</w:t>
      </w:r>
    </w:p>
    <w:p w:rsidR="00557396" w:rsidRPr="00315C6E" w:rsidRDefault="00557396" w:rsidP="00557396">
      <w:pPr>
        <w:pStyle w:val="3GPPHeader"/>
        <w:rPr>
          <w:sz w:val="22"/>
          <w:szCs w:val="22"/>
        </w:rPr>
      </w:pPr>
      <w:r>
        <w:rPr>
          <w:sz w:val="22"/>
          <w:szCs w:val="22"/>
        </w:rPr>
        <w:t>Document for:</w:t>
      </w:r>
      <w:r>
        <w:rPr>
          <w:sz w:val="22"/>
          <w:szCs w:val="22"/>
        </w:rPr>
        <w:tab/>
        <w:t>Discussion/</w:t>
      </w:r>
      <w:r w:rsidRPr="00315C6E">
        <w:rPr>
          <w:sz w:val="22"/>
          <w:szCs w:val="22"/>
        </w:rPr>
        <w:t>Decision</w:t>
      </w:r>
    </w:p>
    <w:p w:rsidR="00557396" w:rsidRPr="00634AF5" w:rsidRDefault="00557396" w:rsidP="00557396">
      <w:pPr>
        <w:pStyle w:val="Heading1"/>
      </w:pPr>
      <w:r w:rsidRPr="00315C6E">
        <w:t>Introduction</w:t>
      </w:r>
    </w:p>
    <w:p w:rsidR="00557396" w:rsidRPr="00D0763A" w:rsidRDefault="00557396" w:rsidP="00557396">
      <w:pPr>
        <w:pStyle w:val="0Maintext"/>
        <w:spacing w:after="120" w:afterAutospacing="0" w:line="240" w:lineRule="auto"/>
        <w:ind w:firstLine="0"/>
        <w:rPr>
          <w:rFonts w:eastAsiaTheme="minorEastAsia"/>
          <w:lang w:val="en-US" w:eastAsia="zh-CN"/>
        </w:rPr>
      </w:pPr>
      <w:r>
        <w:rPr>
          <w:lang w:val="en-US"/>
        </w:rPr>
        <w:t>In RAN1 #1</w:t>
      </w:r>
      <w:r w:rsidR="00D86AA7">
        <w:rPr>
          <w:lang w:val="en-US"/>
        </w:rPr>
        <w:t>1</w:t>
      </w:r>
      <w:r w:rsidR="008A18C8">
        <w:rPr>
          <w:lang w:val="en-US"/>
        </w:rPr>
        <w:t>1</w:t>
      </w:r>
      <w:r>
        <w:rPr>
          <w:lang w:val="en-US"/>
        </w:rPr>
        <w:t xml:space="preserve">, the following agreements on </w:t>
      </w:r>
      <w:r w:rsidR="00C46EAA">
        <w:rPr>
          <w:lang w:val="en-US"/>
        </w:rPr>
        <w:t>CSI enhancement</w:t>
      </w:r>
      <w:r>
        <w:rPr>
          <w:lang w:val="en-US"/>
        </w:rPr>
        <w:t xml:space="preserve"> have been achieved.</w:t>
      </w:r>
    </w:p>
    <w:tbl>
      <w:tblPr>
        <w:tblStyle w:val="TableGrid"/>
        <w:tblW w:w="0" w:type="auto"/>
        <w:tblLook w:val="04A0" w:firstRow="1" w:lastRow="0" w:firstColumn="1" w:lastColumn="0" w:noHBand="0" w:noVBand="1"/>
      </w:tblPr>
      <w:tblGrid>
        <w:gridCol w:w="9010"/>
      </w:tblGrid>
      <w:tr w:rsidR="00557396" w:rsidRPr="00CB05AA" w:rsidTr="00557396">
        <w:tc>
          <w:tcPr>
            <w:tcW w:w="9010" w:type="dxa"/>
          </w:tcPr>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CJT mTRP, the values of the following codebook parameters are gNB-configured via higher-layer (RRC) signaling and common across all </w:t>
            </w:r>
            <w:r w:rsidRPr="00295F09">
              <w:rPr>
                <w:i/>
                <w:sz w:val="20"/>
                <w:szCs w:val="20"/>
              </w:rPr>
              <w:t>N</w:t>
            </w:r>
            <w:r w:rsidRPr="00295F09">
              <w:rPr>
                <w:sz w:val="20"/>
                <w:szCs w:val="20"/>
              </w:rPr>
              <w:t xml:space="preserve"> CSI-RS resources:</w:t>
            </w:r>
          </w:p>
          <w:p w:rsidR="008A18C8" w:rsidRPr="00295F09" w:rsidRDefault="008A18C8">
            <w:pPr>
              <w:numPr>
                <w:ilvl w:val="0"/>
                <w:numId w:val="12"/>
              </w:numPr>
              <w:snapToGrid w:val="0"/>
              <w:rPr>
                <w:sz w:val="20"/>
                <w:szCs w:val="20"/>
              </w:rPr>
            </w:pPr>
            <w:r w:rsidRPr="00295F09">
              <w:rPr>
                <w:i/>
                <w:sz w:val="20"/>
                <w:szCs w:val="20"/>
              </w:rPr>
              <w:t>N</w:t>
            </w:r>
            <w:r w:rsidRPr="00295F09">
              <w:rPr>
                <w:sz w:val="20"/>
                <w:szCs w:val="20"/>
                <w:vertAlign w:val="subscript"/>
              </w:rPr>
              <w:t>1</w:t>
            </w:r>
            <w:r w:rsidRPr="00295F09">
              <w:rPr>
                <w:sz w:val="20"/>
                <w:szCs w:val="20"/>
              </w:rPr>
              <w:t xml:space="preserve">, </w:t>
            </w:r>
            <w:r w:rsidRPr="00295F09">
              <w:rPr>
                <w:i/>
                <w:sz w:val="20"/>
                <w:szCs w:val="20"/>
              </w:rPr>
              <w:t>N</w:t>
            </w:r>
            <w:r w:rsidRPr="00295F09">
              <w:rPr>
                <w:sz w:val="20"/>
                <w:szCs w:val="20"/>
                <w:vertAlign w:val="subscript"/>
              </w:rPr>
              <w:t>2</w:t>
            </w:r>
          </w:p>
          <w:p w:rsidR="008A18C8" w:rsidRPr="00295F09" w:rsidRDefault="008A18C8">
            <w:pPr>
              <w:numPr>
                <w:ilvl w:val="1"/>
                <w:numId w:val="12"/>
              </w:numPr>
              <w:snapToGrid w:val="0"/>
              <w:rPr>
                <w:sz w:val="20"/>
                <w:szCs w:val="20"/>
              </w:rPr>
            </w:pPr>
            <w:r w:rsidRPr="00295F09">
              <w:rPr>
                <w:sz w:val="20"/>
                <w:szCs w:val="20"/>
              </w:rPr>
              <w:t>Note: Since (</w:t>
            </w:r>
            <w:r w:rsidRPr="00295F09">
              <w:rPr>
                <w:i/>
                <w:sz w:val="20"/>
                <w:szCs w:val="20"/>
              </w:rPr>
              <w:t>O</w:t>
            </w:r>
            <w:r w:rsidRPr="00295F09">
              <w:rPr>
                <w:sz w:val="20"/>
                <w:szCs w:val="20"/>
                <w:vertAlign w:val="subscript"/>
              </w:rPr>
              <w:t>1</w:t>
            </w:r>
            <w:r w:rsidRPr="00295F09">
              <w:rPr>
                <w:sz w:val="20"/>
                <w:szCs w:val="20"/>
              </w:rPr>
              <w:t xml:space="preserve">, </w:t>
            </w:r>
            <w:r w:rsidRPr="00295F09">
              <w:rPr>
                <w:i/>
                <w:sz w:val="20"/>
                <w:szCs w:val="20"/>
              </w:rPr>
              <w:t>O</w:t>
            </w:r>
            <w:r w:rsidRPr="00295F09">
              <w:rPr>
                <w:sz w:val="20"/>
                <w:szCs w:val="20"/>
                <w:vertAlign w:val="subscript"/>
              </w:rPr>
              <w:t>2</w:t>
            </w:r>
            <w:r w:rsidRPr="00295F09">
              <w:rPr>
                <w:sz w:val="20"/>
                <w:szCs w:val="20"/>
              </w:rPr>
              <w:t>) are fixed for a given (</w:t>
            </w:r>
            <w:r w:rsidRPr="00295F09">
              <w:rPr>
                <w:i/>
                <w:sz w:val="20"/>
                <w:szCs w:val="20"/>
              </w:rPr>
              <w:t>N</w:t>
            </w:r>
            <w:r w:rsidRPr="00295F09">
              <w:rPr>
                <w:sz w:val="20"/>
                <w:szCs w:val="20"/>
                <w:vertAlign w:val="subscript"/>
              </w:rPr>
              <w:t>1</w:t>
            </w:r>
            <w:r w:rsidRPr="00295F09">
              <w:rPr>
                <w:sz w:val="20"/>
                <w:szCs w:val="20"/>
              </w:rPr>
              <w:t xml:space="preserve">, </w:t>
            </w:r>
            <w:r w:rsidRPr="00295F09">
              <w:rPr>
                <w:i/>
                <w:sz w:val="20"/>
                <w:szCs w:val="20"/>
              </w:rPr>
              <w:t>N</w:t>
            </w:r>
            <w:r w:rsidRPr="00295F09">
              <w:rPr>
                <w:sz w:val="20"/>
                <w:szCs w:val="20"/>
                <w:vertAlign w:val="subscript"/>
              </w:rPr>
              <w:t>2</w:t>
            </w:r>
            <w:r w:rsidRPr="00295F09">
              <w:rPr>
                <w:sz w:val="20"/>
                <w:szCs w:val="20"/>
              </w:rPr>
              <w:t>), (</w:t>
            </w:r>
            <w:r w:rsidRPr="00295F09">
              <w:rPr>
                <w:i/>
                <w:sz w:val="20"/>
                <w:szCs w:val="20"/>
              </w:rPr>
              <w:t>O</w:t>
            </w:r>
            <w:r w:rsidRPr="00295F09">
              <w:rPr>
                <w:sz w:val="20"/>
                <w:szCs w:val="20"/>
                <w:vertAlign w:val="subscript"/>
              </w:rPr>
              <w:t>1</w:t>
            </w:r>
            <w:r w:rsidRPr="00295F09">
              <w:rPr>
                <w:sz w:val="20"/>
                <w:szCs w:val="20"/>
              </w:rPr>
              <w:t xml:space="preserve">, </w:t>
            </w:r>
            <w:r w:rsidRPr="00295F09">
              <w:rPr>
                <w:i/>
                <w:sz w:val="20"/>
                <w:szCs w:val="20"/>
              </w:rPr>
              <w:t>O</w:t>
            </w:r>
            <w:r w:rsidRPr="00295F09">
              <w:rPr>
                <w:sz w:val="20"/>
                <w:szCs w:val="20"/>
                <w:vertAlign w:val="subscript"/>
              </w:rPr>
              <w:t>2</w:t>
            </w:r>
            <w:r w:rsidRPr="00295F09">
              <w:rPr>
                <w:sz w:val="20"/>
                <w:szCs w:val="20"/>
              </w:rPr>
              <w:t xml:space="preserve">) are also common across all </w:t>
            </w:r>
            <w:r w:rsidRPr="00295F09">
              <w:rPr>
                <w:i/>
                <w:sz w:val="20"/>
                <w:szCs w:val="20"/>
              </w:rPr>
              <w:t>N</w:t>
            </w:r>
            <w:r w:rsidRPr="00295F09">
              <w:rPr>
                <w:sz w:val="20"/>
                <w:szCs w:val="20"/>
              </w:rPr>
              <w:t xml:space="preserve"> CSI-RS resources</w:t>
            </w:r>
          </w:p>
          <w:p w:rsidR="008A18C8" w:rsidRPr="00295F09" w:rsidRDefault="008A18C8">
            <w:pPr>
              <w:numPr>
                <w:ilvl w:val="0"/>
                <w:numId w:val="12"/>
              </w:numPr>
              <w:snapToGrid w:val="0"/>
              <w:rPr>
                <w:sz w:val="20"/>
                <w:szCs w:val="20"/>
              </w:rPr>
            </w:pPr>
            <w:r w:rsidRPr="00295F09">
              <w:rPr>
                <w:i/>
                <w:sz w:val="20"/>
                <w:szCs w:val="20"/>
              </w:rPr>
              <w:t xml:space="preserve">R, </w:t>
            </w:r>
            <w:r w:rsidRPr="00191256">
              <w:rPr>
                <w:rFonts w:ascii="Symbol" w:hAnsi="Symbol" w:cs="Times"/>
                <w:i/>
                <w:szCs w:val="20"/>
              </w:rPr>
              <w:t></w:t>
            </w:r>
          </w:p>
          <w:p w:rsidR="008A18C8" w:rsidRPr="00295F09" w:rsidRDefault="008A18C8">
            <w:pPr>
              <w:numPr>
                <w:ilvl w:val="1"/>
                <w:numId w:val="12"/>
              </w:numPr>
              <w:snapToGrid w:val="0"/>
              <w:rPr>
                <w:sz w:val="20"/>
                <w:szCs w:val="20"/>
              </w:rPr>
            </w:pPr>
            <w:r w:rsidRPr="00295F09">
              <w:rPr>
                <w:sz w:val="20"/>
                <w:szCs w:val="20"/>
              </w:rPr>
              <w:t xml:space="preserve">Note: Since </w:t>
            </w:r>
            <w:r w:rsidRPr="00295F09">
              <w:rPr>
                <w:i/>
                <w:sz w:val="20"/>
                <w:szCs w:val="20"/>
              </w:rPr>
              <w:t>N</w:t>
            </w:r>
            <w:r w:rsidRPr="00295F09">
              <w:rPr>
                <w:sz w:val="20"/>
                <w:szCs w:val="20"/>
                <w:vertAlign w:val="subscript"/>
              </w:rPr>
              <w:t>3</w:t>
            </w:r>
            <w:r w:rsidRPr="00295F09">
              <w:rPr>
                <w:sz w:val="20"/>
                <w:szCs w:val="20"/>
              </w:rPr>
              <w:t xml:space="preserve"> is inferred from the number of CQI subbands and </w:t>
            </w:r>
            <w:r w:rsidRPr="00295F09">
              <w:rPr>
                <w:i/>
                <w:sz w:val="20"/>
                <w:szCs w:val="20"/>
              </w:rPr>
              <w:t>R</w:t>
            </w:r>
            <w:r w:rsidRPr="00295F09">
              <w:rPr>
                <w:sz w:val="20"/>
                <w:szCs w:val="20"/>
              </w:rPr>
              <w:t xml:space="preserve">, </w:t>
            </w:r>
            <w:r w:rsidRPr="00295F09">
              <w:rPr>
                <w:i/>
                <w:sz w:val="20"/>
                <w:szCs w:val="20"/>
              </w:rPr>
              <w:t>N</w:t>
            </w:r>
            <w:r w:rsidRPr="00295F09">
              <w:rPr>
                <w:sz w:val="20"/>
                <w:szCs w:val="20"/>
                <w:vertAlign w:val="subscript"/>
              </w:rPr>
              <w:t>3</w:t>
            </w:r>
            <w:r w:rsidRPr="00295F09">
              <w:rPr>
                <w:sz w:val="20"/>
                <w:szCs w:val="20"/>
              </w:rPr>
              <w:t xml:space="preserve"> is also common across all </w:t>
            </w:r>
            <w:r w:rsidRPr="00295F09">
              <w:rPr>
                <w:i/>
                <w:sz w:val="20"/>
                <w:szCs w:val="20"/>
              </w:rPr>
              <w:t>N</w:t>
            </w:r>
            <w:r w:rsidRPr="00295F09">
              <w:rPr>
                <w:sz w:val="20"/>
                <w:szCs w:val="20"/>
              </w:rPr>
              <w:t xml:space="preserve"> CSI-RS resources</w:t>
            </w:r>
          </w:p>
          <w:p w:rsidR="008A18C8" w:rsidRPr="00295F09" w:rsidRDefault="008A18C8">
            <w:pPr>
              <w:pStyle w:val="ListParagraph"/>
              <w:numPr>
                <w:ilvl w:val="1"/>
                <w:numId w:val="12"/>
              </w:numPr>
              <w:snapToGrid w:val="0"/>
              <w:ind w:leftChars="0"/>
              <w:rPr>
                <w:rFonts w:ascii="Times New Roman" w:hAnsi="Times New Roman"/>
                <w:szCs w:val="20"/>
              </w:rPr>
            </w:pPr>
            <w:r w:rsidRPr="00295F09">
              <w:rPr>
                <w:rFonts w:ascii="Times New Roman" w:hAnsi="Times New Roman"/>
                <w:szCs w:val="20"/>
              </w:rPr>
              <w:t xml:space="preserve">Note: Since per-layer </w:t>
            </w:r>
            <w:r w:rsidRPr="00295F09">
              <w:rPr>
                <w:rFonts w:ascii="Times New Roman" w:hAnsi="Times New Roman"/>
                <w:i/>
                <w:szCs w:val="20"/>
              </w:rPr>
              <w:t>K</w:t>
            </w:r>
            <w:r w:rsidRPr="00295F09">
              <w:rPr>
                <w:rFonts w:ascii="Times New Roman" w:hAnsi="Times New Roman"/>
                <w:szCs w:val="20"/>
                <w:vertAlign w:val="subscript"/>
              </w:rPr>
              <w:t>0</w:t>
            </w:r>
            <w:r w:rsidRPr="00295F09">
              <w:rPr>
                <w:rFonts w:ascii="Times New Roman" w:hAnsi="Times New Roman"/>
                <w:szCs w:val="20"/>
              </w:rPr>
              <w:t xml:space="preserve"> is defined jointly across all </w:t>
            </w:r>
            <w:r w:rsidRPr="00295F09">
              <w:rPr>
                <w:rFonts w:ascii="Times New Roman" w:hAnsi="Times New Roman"/>
                <w:i/>
                <w:szCs w:val="20"/>
              </w:rPr>
              <w:t>N</w:t>
            </w:r>
            <w:r w:rsidRPr="00295F09">
              <w:rPr>
                <w:rFonts w:ascii="Times New Roman" w:hAnsi="Times New Roman"/>
                <w:szCs w:val="20"/>
              </w:rPr>
              <w:t xml:space="preserve"> CSI-RS resources, so is </w:t>
            </w:r>
            <w:r w:rsidRPr="00191256">
              <w:rPr>
                <w:rFonts w:ascii="Symbol" w:hAnsi="Symbol" w:cs="Times"/>
                <w:i/>
                <w:szCs w:val="20"/>
              </w:rPr>
              <w:t></w:t>
            </w:r>
            <w:r w:rsidRPr="00295F09">
              <w:rPr>
                <w:rFonts w:ascii="Times New Roman" w:hAnsi="Times New Roman"/>
                <w:szCs w:val="20"/>
              </w:rPr>
              <w:t>.</w:t>
            </w:r>
          </w:p>
          <w:p w:rsidR="008A18C8" w:rsidRPr="00295F09" w:rsidRDefault="008A18C8" w:rsidP="008A18C8">
            <w:pPr>
              <w:snapToGrid w:val="0"/>
              <w:rPr>
                <w:b/>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On the Type-II codebook refinement for CJT mTRP, for mode-1 and mode-2, there is no consensus on introducing additional/explicit per-CSI-RS-resource amplitude scaling and/or co-phase (with separate alphabet set(s)) as additional PMI component(s).</w:t>
            </w:r>
          </w:p>
          <w:p w:rsidR="008A18C8" w:rsidRPr="00295F09" w:rsidRDefault="008A18C8">
            <w:pPr>
              <w:pStyle w:val="ListParagraph"/>
              <w:numPr>
                <w:ilvl w:val="0"/>
                <w:numId w:val="15"/>
              </w:numPr>
              <w:snapToGrid w:val="0"/>
              <w:ind w:leftChars="0"/>
              <w:contextualSpacing/>
              <w:rPr>
                <w:rFonts w:ascii="Times New Roman" w:hAnsi="Times New Roman"/>
                <w:szCs w:val="20"/>
              </w:rPr>
            </w:pPr>
            <w:r w:rsidRPr="00295F09">
              <w:rPr>
                <w:rFonts w:ascii="Times New Roman" w:hAnsi="Times New Roman"/>
                <w:szCs w:val="20"/>
              </w:rPr>
              <w:t>Note: This conclusion has no impact on the Working Assumption reached in RAN1#110bis-e regarding W2 quantization group</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R</w:t>
            </w:r>
            <w:r w:rsidRPr="00295F09">
              <w:rPr>
                <w:sz w:val="20"/>
                <w:szCs w:val="20"/>
              </w:rPr>
              <w:t>, the supported value(s) from the legacy specification are reused.</w:t>
            </w:r>
          </w:p>
          <w:p w:rsidR="008A18C8" w:rsidRPr="00295F09" w:rsidRDefault="008A18C8">
            <w:pPr>
              <w:pStyle w:val="ListParagraph"/>
              <w:numPr>
                <w:ilvl w:val="0"/>
                <w:numId w:val="16"/>
              </w:numPr>
              <w:suppressAutoHyphens/>
              <w:snapToGrid w:val="0"/>
              <w:ind w:leftChars="0"/>
              <w:rPr>
                <w:rFonts w:ascii="Times New Roman" w:hAnsi="Times New Roman"/>
                <w:szCs w:val="20"/>
              </w:rPr>
            </w:pPr>
            <w:r w:rsidRPr="00295F09">
              <w:rPr>
                <w:rFonts w:ascii="Times New Roman" w:hAnsi="Times New Roman"/>
                <w:szCs w:val="20"/>
              </w:rPr>
              <w:t>FFS: whether additional value 4 can also be added</w:t>
            </w:r>
          </w:p>
          <w:p w:rsidR="008A18C8" w:rsidRPr="00295F09" w:rsidRDefault="008A18C8" w:rsidP="008A18C8">
            <w:pPr>
              <w:snapToGrid w:val="0"/>
              <w:rPr>
                <w:b/>
                <w:sz w:val="20"/>
                <w:szCs w:val="20"/>
                <w:highlight w:val="green"/>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191256">
              <w:rPr>
                <w:rFonts w:ascii="Symbol" w:hAnsi="Symbol" w:cs="Times"/>
                <w:i/>
                <w:szCs w:val="20"/>
              </w:rPr>
              <w:t></w:t>
            </w:r>
            <w:r w:rsidRPr="00295F09">
              <w:rPr>
                <w:sz w:val="20"/>
                <w:szCs w:val="20"/>
              </w:rPr>
              <w:t xml:space="preserve">, introduce as a candidate value </w:t>
            </w:r>
            <w:r w:rsidRPr="00191256">
              <w:rPr>
                <w:rFonts w:ascii="Symbol" w:hAnsi="Symbol" w:cs="Times"/>
                <w:i/>
                <w:szCs w:val="20"/>
              </w:rPr>
              <w:t></w:t>
            </w:r>
            <w:r w:rsidRPr="00295F09">
              <w:rPr>
                <w:sz w:val="20"/>
                <w:szCs w:val="20"/>
              </w:rPr>
              <w:t xml:space="preserve"> = 1/8 in addition to the supported value(s) from the legacy specification.</w:t>
            </w:r>
          </w:p>
          <w:p w:rsidR="008A18C8" w:rsidRPr="00295F09" w:rsidRDefault="008A18C8">
            <w:pPr>
              <w:pStyle w:val="ListParagraph"/>
              <w:numPr>
                <w:ilvl w:val="0"/>
                <w:numId w:val="17"/>
              </w:numPr>
              <w:snapToGrid w:val="0"/>
              <w:ind w:leftChars="0"/>
              <w:contextualSpacing/>
              <w:rPr>
                <w:rFonts w:ascii="Times New Roman" w:hAnsi="Times New Roman"/>
                <w:szCs w:val="20"/>
              </w:rPr>
            </w:pPr>
            <w:r w:rsidRPr="00295F09">
              <w:rPr>
                <w:rFonts w:ascii="Times New Roman" w:hAnsi="Times New Roman"/>
                <w:szCs w:val="20"/>
              </w:rPr>
              <w:t>FFS (by RAN1#111): whether additional value 1 can also be added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p</w:t>
            </w:r>
            <w:r w:rsidRPr="00295F09">
              <w:rPr>
                <w:i/>
                <w:sz w:val="20"/>
                <w:szCs w:val="20"/>
                <w:vertAlign w:val="subscript"/>
              </w:rPr>
              <w:t>v</w:t>
            </w:r>
            <w:r w:rsidRPr="00295F09">
              <w:rPr>
                <w:sz w:val="20"/>
                <w:szCs w:val="20"/>
              </w:rPr>
              <w:t>, in addition to the supported value(s) from the legacy specification for Rel-16 regular eType-II codebook, introduce as a candidate value</w:t>
            </w:r>
          </w:p>
          <w:p w:rsidR="008A18C8" w:rsidRPr="00295F09" w:rsidRDefault="008A18C8">
            <w:pPr>
              <w:pStyle w:val="ListParagraph"/>
              <w:numPr>
                <w:ilvl w:val="0"/>
                <w:numId w:val="17"/>
              </w:numPr>
              <w:snapToGrid w:val="0"/>
              <w:ind w:leftChars="0"/>
              <w:contextualSpacing/>
              <w:rPr>
                <w:rFonts w:ascii="Times New Roman" w:hAnsi="Times New Roman"/>
                <w:szCs w:val="20"/>
              </w:rPr>
            </w:pPr>
            <w:r w:rsidRPr="00295F09">
              <w:rPr>
                <w:rFonts w:ascii="Times New Roman" w:hAnsi="Times New Roman"/>
                <w:i/>
                <w:szCs w:val="20"/>
              </w:rPr>
              <w:t>p</w:t>
            </w:r>
            <w:r w:rsidRPr="00295F09">
              <w:rPr>
                <w:rFonts w:ascii="Times New Roman" w:hAnsi="Times New Roman"/>
                <w:i/>
                <w:szCs w:val="20"/>
                <w:vertAlign w:val="subscript"/>
              </w:rPr>
              <w:t>v</w:t>
            </w:r>
            <w:r w:rsidRPr="00295F09">
              <w:rPr>
                <w:rFonts w:ascii="Times New Roman" w:hAnsi="Times New Roman"/>
                <w:szCs w:val="20"/>
              </w:rPr>
              <w:t xml:space="preserve"> = 1/8 for </w:t>
            </w:r>
            <w:r w:rsidRPr="00295F09">
              <w:rPr>
                <w:rFonts w:ascii="Times New Roman" w:hAnsi="Times New Roman"/>
                <w:i/>
                <w:szCs w:val="20"/>
              </w:rPr>
              <w:t>v</w:t>
            </w:r>
            <w:r w:rsidRPr="00295F09">
              <w:rPr>
                <w:rFonts w:ascii="Times New Roman" w:hAnsi="Times New Roman"/>
                <w:szCs w:val="20"/>
              </w:rPr>
              <w:t xml:space="preserve">=1,2 (hence 1/16 for </w:t>
            </w:r>
            <w:r w:rsidRPr="00295F09">
              <w:rPr>
                <w:rFonts w:ascii="Times New Roman" w:hAnsi="Times New Roman"/>
                <w:i/>
                <w:szCs w:val="20"/>
              </w:rPr>
              <w:t>v</w:t>
            </w:r>
            <w:r w:rsidRPr="00295F09">
              <w:rPr>
                <w:rFonts w:ascii="Times New Roman" w:hAnsi="Times New Roman"/>
                <w:szCs w:val="20"/>
              </w:rPr>
              <w:t>=3,4)</w:t>
            </w:r>
          </w:p>
          <w:p w:rsidR="008A18C8" w:rsidRPr="00295F09" w:rsidRDefault="008A18C8" w:rsidP="008A18C8">
            <w:pPr>
              <w:snapToGrid w:val="0"/>
              <w:rPr>
                <w:sz w:val="20"/>
                <w:szCs w:val="20"/>
              </w:rPr>
            </w:pPr>
            <w:r w:rsidRPr="00295F09">
              <w:rPr>
                <w:sz w:val="20"/>
                <w:szCs w:val="20"/>
              </w:rPr>
              <w:t>FFS (by RAN1#111): whether additional value</w:t>
            </w:r>
            <w:r w:rsidRPr="00295F09">
              <w:rPr>
                <w:i/>
                <w:sz w:val="20"/>
                <w:szCs w:val="20"/>
              </w:rPr>
              <w:t xml:space="preserve"> p</w:t>
            </w:r>
            <w:r w:rsidRPr="00295F09">
              <w:rPr>
                <w:i/>
                <w:sz w:val="20"/>
                <w:szCs w:val="20"/>
                <w:vertAlign w:val="subscript"/>
              </w:rPr>
              <w:t>v</w:t>
            </w:r>
            <w:r w:rsidRPr="00295F09">
              <w:rPr>
                <w:sz w:val="20"/>
                <w:szCs w:val="20"/>
              </w:rPr>
              <w:t xml:space="preserve"> = 1/2 for </w:t>
            </w:r>
            <w:r w:rsidRPr="00295F09">
              <w:rPr>
                <w:i/>
                <w:sz w:val="20"/>
                <w:szCs w:val="20"/>
              </w:rPr>
              <w:t>v</w:t>
            </w:r>
            <w:r w:rsidRPr="00295F09">
              <w:rPr>
                <w:sz w:val="20"/>
                <w:szCs w:val="20"/>
              </w:rPr>
              <w:t>=1,2,3,4 can also be added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On the Type-II codebook refinement for CJT mTRP:</w:t>
            </w:r>
          </w:p>
          <w:p w:rsidR="008A18C8" w:rsidRPr="00295F09" w:rsidRDefault="008A18C8">
            <w:pPr>
              <w:pStyle w:val="ListParagraph"/>
              <w:numPr>
                <w:ilvl w:val="0"/>
                <w:numId w:val="18"/>
              </w:numPr>
              <w:snapToGrid w:val="0"/>
              <w:ind w:leftChars="0"/>
              <w:contextualSpacing/>
              <w:rPr>
                <w:rFonts w:ascii="Times New Roman" w:hAnsi="Times New Roman"/>
                <w:szCs w:val="20"/>
              </w:rPr>
            </w:pPr>
            <w:r w:rsidRPr="00295F09">
              <w:rPr>
                <w:rFonts w:ascii="Times New Roman" w:hAnsi="Times New Roman"/>
                <w:szCs w:val="20"/>
              </w:rPr>
              <w:t>The maximum value of 2</w:t>
            </w:r>
            <w:r w:rsidRPr="00295F09">
              <w:rPr>
                <w:rFonts w:ascii="Times New Roman" w:hAnsi="Times New Roman"/>
                <w:i/>
                <w:szCs w:val="20"/>
              </w:rPr>
              <w:t>NN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is 128</w:t>
            </w:r>
          </w:p>
          <w:p w:rsidR="008A18C8" w:rsidRPr="00295F09" w:rsidRDefault="008A18C8">
            <w:pPr>
              <w:pStyle w:val="ListParagraph"/>
              <w:numPr>
                <w:ilvl w:val="1"/>
                <w:numId w:val="18"/>
              </w:numPr>
              <w:snapToGrid w:val="0"/>
              <w:ind w:leftChars="0"/>
              <w:contextualSpacing/>
              <w:rPr>
                <w:rFonts w:ascii="Times New Roman" w:hAnsi="Times New Roman"/>
                <w:szCs w:val="20"/>
              </w:rPr>
            </w:pPr>
            <w:r w:rsidRPr="00295F09">
              <w:rPr>
                <w:rFonts w:ascii="Times New Roman" w:hAnsi="Times New Roman"/>
                <w:szCs w:val="20"/>
              </w:rPr>
              <w:t>The support of 2</w:t>
            </w:r>
            <w:r w:rsidRPr="00295F09">
              <w:rPr>
                <w:rFonts w:ascii="Times New Roman" w:hAnsi="Times New Roman"/>
                <w:i/>
                <w:szCs w:val="20"/>
              </w:rPr>
              <w:t>NN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&gt;32 is UE optional for UEs supporting Rel-18 CJT CSI enhancement</w:t>
            </w:r>
          </w:p>
          <w:p w:rsidR="008A18C8" w:rsidRPr="00295F09" w:rsidRDefault="008A18C8">
            <w:pPr>
              <w:pStyle w:val="ListParagraph"/>
              <w:numPr>
                <w:ilvl w:val="0"/>
                <w:numId w:val="18"/>
              </w:numPr>
              <w:snapToGrid w:val="0"/>
              <w:ind w:leftChars="0"/>
              <w:contextualSpacing/>
              <w:rPr>
                <w:rFonts w:ascii="Times New Roman" w:hAnsi="Times New Roman"/>
                <w:szCs w:val="20"/>
              </w:rPr>
            </w:pPr>
            <w:r w:rsidRPr="00295F09">
              <w:rPr>
                <w:rFonts w:ascii="Times New Roman" w:hAnsi="Times New Roman"/>
                <w:szCs w:val="20"/>
              </w:rPr>
              <w:t>Note: Following the legacy specification on the maximum number of NZP CSI-RS ports per CSI-RS resource, the maximum value of 2</w:t>
            </w:r>
            <w:r w:rsidRPr="00295F09">
              <w:rPr>
                <w:rFonts w:ascii="Times New Roman" w:hAnsi="Times New Roman"/>
                <w:i/>
                <w:szCs w:val="20"/>
              </w:rPr>
              <w:t>N</w:t>
            </w:r>
            <w:r w:rsidRPr="00295F09">
              <w:rPr>
                <w:rFonts w:ascii="Times New Roman" w:hAnsi="Times New Roman"/>
                <w:szCs w:val="20"/>
                <w:vertAlign w:val="subscript"/>
              </w:rPr>
              <w:t>1</w:t>
            </w:r>
            <w:r w:rsidRPr="00295F09">
              <w:rPr>
                <w:rFonts w:ascii="Times New Roman" w:hAnsi="Times New Roman"/>
                <w:i/>
                <w:szCs w:val="20"/>
              </w:rPr>
              <w:t>N</w:t>
            </w:r>
            <w:r w:rsidRPr="00295F09">
              <w:rPr>
                <w:rFonts w:ascii="Times New Roman" w:hAnsi="Times New Roman"/>
                <w:szCs w:val="20"/>
                <w:vertAlign w:val="subscript"/>
              </w:rPr>
              <w:t xml:space="preserve">2 </w:t>
            </w:r>
            <w:r w:rsidRPr="00295F09">
              <w:rPr>
                <w:rFonts w:ascii="Times New Roman" w:hAnsi="Times New Roman"/>
                <w:szCs w:val="20"/>
              </w:rPr>
              <w:t>is 32.</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on the </w:t>
            </w:r>
            <w:r w:rsidRPr="00295F09">
              <w:rPr>
                <w:i/>
                <w:sz w:val="20"/>
                <w:szCs w:val="20"/>
              </w:rPr>
              <w:t>L</w:t>
            </w:r>
            <w:r w:rsidRPr="00295F09">
              <w:rPr>
                <w:sz w:val="20"/>
                <w:szCs w:val="20"/>
              </w:rPr>
              <w:t xml:space="preserve"> parameter, down select from the following alternatives (</w:t>
            </w:r>
            <w:r w:rsidRPr="00295F09">
              <w:rPr>
                <w:sz w:val="20"/>
                <w:szCs w:val="20"/>
                <w:u w:val="single"/>
              </w:rPr>
              <w:t>by RAN1#111</w:t>
            </w:r>
            <w:r w:rsidRPr="00295F09">
              <w:rPr>
                <w:sz w:val="20"/>
                <w:szCs w:val="20"/>
              </w:rPr>
              <w:t>):</w:t>
            </w:r>
          </w:p>
          <w:p w:rsidR="008A18C8" w:rsidRPr="00295F09" w:rsidRDefault="008A18C8">
            <w:pPr>
              <w:numPr>
                <w:ilvl w:val="0"/>
                <w:numId w:val="10"/>
              </w:numPr>
              <w:snapToGrid w:val="0"/>
              <w:rPr>
                <w:sz w:val="20"/>
                <w:szCs w:val="20"/>
              </w:rPr>
            </w:pPr>
            <w:r w:rsidRPr="00295F09">
              <w:rPr>
                <w:sz w:val="20"/>
                <w:szCs w:val="20"/>
              </w:rPr>
              <w:t>Alt1. Each of the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is gNB-configured via higher-layer (RRC) signaling</w:t>
            </w:r>
          </w:p>
          <w:p w:rsidR="008A18C8" w:rsidRPr="00295F09" w:rsidRDefault="008A18C8">
            <w:pPr>
              <w:numPr>
                <w:ilvl w:val="0"/>
                <w:numId w:val="10"/>
              </w:numPr>
              <w:snapToGrid w:val="0"/>
              <w:rPr>
                <w:sz w:val="20"/>
                <w:szCs w:val="20"/>
              </w:rPr>
            </w:pPr>
            <w:r w:rsidRPr="00295F09">
              <w:rPr>
                <w:sz w:val="20"/>
                <w:szCs w:val="20"/>
              </w:rPr>
              <w:t xml:space="preserve">Alt4. </w:t>
            </w:r>
            <w:r w:rsidRPr="00295F09">
              <w:rPr>
                <w:i/>
                <w:sz w:val="20"/>
                <w:szCs w:val="20"/>
              </w:rPr>
              <w:t>L</w:t>
            </w:r>
            <w:r w:rsidRPr="00295F09">
              <w:rPr>
                <w:i/>
                <w:sz w:val="20"/>
                <w:szCs w:val="20"/>
                <w:vertAlign w:val="subscript"/>
              </w:rPr>
              <w:t>max</w:t>
            </w:r>
            <w:r w:rsidRPr="00295F09">
              <w:rPr>
                <w:sz w:val="20"/>
                <w:szCs w:val="20"/>
              </w:rPr>
              <w:t xml:space="preserve"> is gNB-configured via higher-layer (RRC) signaling and the relative value(s) of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are reported by the UE</w:t>
            </w:r>
          </w:p>
          <w:p w:rsidR="008A18C8" w:rsidRPr="00295F09" w:rsidRDefault="008A18C8">
            <w:pPr>
              <w:numPr>
                <w:ilvl w:val="1"/>
                <w:numId w:val="10"/>
              </w:numPr>
              <w:snapToGrid w:val="0"/>
              <w:rPr>
                <w:sz w:val="20"/>
                <w:szCs w:val="20"/>
              </w:rPr>
            </w:pPr>
            <w:r w:rsidRPr="00295F09">
              <w:rPr>
                <w:sz w:val="20"/>
                <w:szCs w:val="20"/>
              </w:rPr>
              <w:t>The relative value(s) of {</w:t>
            </w:r>
            <w:r w:rsidRPr="00295F09">
              <w:rPr>
                <w:i/>
                <w:sz w:val="20"/>
                <w:szCs w:val="20"/>
              </w:rPr>
              <w:t>L</w:t>
            </w:r>
            <w:r w:rsidRPr="00295F09">
              <w:rPr>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xml:space="preserve">} are reported by the UE, such that </w:t>
            </w:r>
            <w:r w:rsidRPr="00295F09">
              <w:rPr>
                <w:sz w:val="20"/>
                <w:szCs w:val="20"/>
              </w:rPr>
              <w:fldChar w:fldCharType="begin"/>
            </w:r>
            <w:r w:rsidRPr="00295F09">
              <w:rPr>
                <w:sz w:val="20"/>
                <w:szCs w:val="20"/>
              </w:rPr>
              <w:instrText xml:space="preserve"> QUOTE </w:instrText>
            </w:r>
            <w:r w:rsidR="003F2720">
              <w:rPr>
                <w:noProof/>
                <w:position w:val="-4"/>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alt="" style="width:60.7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7787A&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7787A&quot; wsp:rsidP=&quot;0017787A&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r&gt;&lt;w:rPr&gt;&lt;w:rFonts w:ascii=&quot;Cambria Math&quot; w:h-ansi=&quot;Cambria Math&quot;/&gt;&lt;wx:font wx:val=&quot;Cambria Math&quot;/&gt;&lt;w:i/&gt;&lt;w:sz w:val=&quot;18&quot;/&gt;&lt;w:sz-cs w:val=&quot;16&quot;/&gt;&lt;/w:rPr&gt;&lt;m:t&gt;‚â§&lt;/m:t&gt;&lt;/m:r&gt;&lt;/m:e&gt;&lt;/m:nary&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95F09">
              <w:rPr>
                <w:sz w:val="20"/>
                <w:szCs w:val="20"/>
              </w:rPr>
              <w:instrText xml:space="preserve"> </w:instrText>
            </w:r>
            <w:r w:rsidRPr="00295F09">
              <w:rPr>
                <w:sz w:val="20"/>
                <w:szCs w:val="20"/>
              </w:rPr>
              <w:fldChar w:fldCharType="separate"/>
            </w:r>
            <w:r w:rsidR="003F2720">
              <w:rPr>
                <w:noProof/>
                <w:position w:val="-4"/>
                <w:sz w:val="20"/>
                <w:szCs w:val="20"/>
              </w:rPr>
              <w:pict>
                <v:shape id="_x0000_i1071" type="#_x0000_t75" alt="" style="width:60.7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7787A&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7787A&quot; wsp:rsidP=&quot;0017787A&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r&gt;&lt;w:rPr&gt;&lt;w:rFonts w:ascii=&quot;Cambria Math&quot; w:h-ansi=&quot;Cambria Math&quot;/&gt;&lt;wx:font wx:val=&quot;Cambria Math&quot;/&gt;&lt;w:i/&gt;&lt;w:sz w:val=&quot;18&quot;/&gt;&lt;w:sz-cs w:val=&quot;16&quot;/&gt;&lt;/w:rPr&gt;&lt;m:t&gt;‚â§&lt;/m:t&gt;&lt;/m:r&gt;&lt;/m:e&gt;&lt;/m:nary&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95F09">
              <w:rPr>
                <w:sz w:val="20"/>
                <w:szCs w:val="20"/>
              </w:rPr>
              <w:fldChar w:fldCharType="end"/>
            </w:r>
          </w:p>
          <w:p w:rsidR="008A18C8" w:rsidRPr="00295F09" w:rsidRDefault="008A18C8">
            <w:pPr>
              <w:numPr>
                <w:ilvl w:val="1"/>
                <w:numId w:val="10"/>
              </w:numPr>
              <w:snapToGrid w:val="0"/>
              <w:rPr>
                <w:sz w:val="20"/>
                <w:szCs w:val="20"/>
              </w:rPr>
            </w:pPr>
            <w:r w:rsidRPr="00295F09">
              <w:rPr>
                <w:sz w:val="20"/>
                <w:szCs w:val="20"/>
              </w:rPr>
              <w:t>TBD: Whether the value(s) of {</w:t>
            </w:r>
            <w:r w:rsidRPr="00295F09">
              <w:rPr>
                <w:i/>
                <w:sz w:val="20"/>
                <w:szCs w:val="20"/>
              </w:rPr>
              <w:t>L</w:t>
            </w:r>
            <w:r w:rsidRPr="00295F09">
              <w:rPr>
                <w:i/>
                <w:sz w:val="20"/>
                <w:szCs w:val="20"/>
                <w:vertAlign w:val="subscript"/>
              </w:rPr>
              <w:t>n</w:t>
            </w:r>
            <w:r w:rsidRPr="00295F09">
              <w:rPr>
                <w:sz w:val="20"/>
                <w:szCs w:val="20"/>
              </w:rPr>
              <w:t xml:space="preserve">, </w:t>
            </w:r>
            <w:r w:rsidRPr="00295F09">
              <w:rPr>
                <w:i/>
                <w:sz w:val="20"/>
                <w:szCs w:val="20"/>
              </w:rPr>
              <w:t>n</w:t>
            </w:r>
            <w:r w:rsidRPr="00295F09">
              <w:rPr>
                <w:sz w:val="20"/>
                <w:szCs w:val="20"/>
              </w:rPr>
              <w:t xml:space="preserve">=1, ..., </w:t>
            </w:r>
            <w:r w:rsidRPr="00295F09">
              <w:rPr>
                <w:i/>
                <w:sz w:val="20"/>
                <w:szCs w:val="20"/>
              </w:rPr>
              <w:t>N</w:t>
            </w:r>
            <w:r w:rsidRPr="00295F09">
              <w:rPr>
                <w:sz w:val="20"/>
                <w:szCs w:val="20"/>
              </w:rPr>
              <w:t xml:space="preserve">} or the total value of </w:t>
            </w:r>
            <w:r w:rsidRPr="00295F09">
              <w:rPr>
                <w:sz w:val="20"/>
                <w:szCs w:val="20"/>
              </w:rPr>
              <w:fldChar w:fldCharType="begin"/>
            </w:r>
            <w:r w:rsidRPr="00295F09">
              <w:rPr>
                <w:sz w:val="20"/>
                <w:szCs w:val="20"/>
              </w:rPr>
              <w:instrText xml:space="preserve"> QUOTE </w:instrText>
            </w:r>
            <w:r w:rsidR="003F2720">
              <w:rPr>
                <w:noProof/>
                <w:position w:val="-4"/>
                <w:sz w:val="20"/>
                <w:szCs w:val="20"/>
              </w:rPr>
              <w:pict>
                <v:shape id="_x0000_i1070" type="#_x0000_t75" alt="" style="width:30.0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0F4&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AA30F4&quot; wsp:rsidP=&quot;00AA30F4&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95F09">
              <w:rPr>
                <w:sz w:val="20"/>
                <w:szCs w:val="20"/>
              </w:rPr>
              <w:instrText xml:space="preserve"> </w:instrText>
            </w:r>
            <w:r w:rsidRPr="00295F09">
              <w:rPr>
                <w:sz w:val="20"/>
                <w:szCs w:val="20"/>
              </w:rPr>
              <w:fldChar w:fldCharType="separate"/>
            </w:r>
            <w:r w:rsidR="003F2720">
              <w:rPr>
                <w:noProof/>
                <w:position w:val="-4"/>
                <w:sz w:val="20"/>
                <w:szCs w:val="20"/>
              </w:rPr>
              <w:pict>
                <v:shape id="_x0000_i1069" type="#_x0000_t75" alt="" style="width:30.0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0F4&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AA30F4&quot; wsp:rsidP=&quot;00AA30F4&quot;&gt;&lt;m:oMathPara&gt;&lt;m:oMath&gt;&lt;m:nary&gt;&lt;m:naryPr&gt;&lt;m:chr m:val=&quot;‚àë&quot;/&gt;&lt;m:limLoc m:val=&quot;undOvr&quot;/&gt;&lt;m:ctrlPr&gt;&lt;w:rPr&gt;&lt;w:rFonts w:ascii=&quot;Cambria Math&quot; w:h-ansi=&quot;Cambria Math&quot;/&gt;&lt;wx:font wx:val=&quot;Cambria Math&quot;/&gt;&lt;w:i/&gt;&lt;w:sz w:val=&quot;18&quot;/&gt;&lt;w:sz-cs w:val=&quot;16&quot;/&gt;&lt;/w:rPr&gt;&lt;/m:ctrlPr&gt;&lt;/m:naryPr&gt;&lt;m:sub&gt;&lt;m:r&gt;&lt;w:rPr&gt;&lt;w:rFonts w:ascii=&quot;Cambria Math&quot; w:h-ansi=&quot;Cambria Math&quot;/&gt;&lt;wx:font wx:val=&quot;Cambria Math&quot;/&gt;&lt;w:i/&gt;&lt;w:sz w:val=&quot;18&quot;/&gt;&lt;w:sz-cs w:val=&quot;16&quot;/&gt;&lt;/w:rPr&gt;&lt;m:t&gt;n=1&lt;/m:t&gt;&lt;/m:r&gt;&lt;/m:sub&gt;&lt;m:sup&gt;&lt;m:r&gt;&lt;w:rPr&gt;&lt;w:rFonts w:ascii=&quot;Cambria Math&quot; w:h-ansi=&quot;Cambria Math&quot;/&gt;&lt;wx:font wx:val=&quot;Cambria Math&quot;/&gt;&lt;w:i/&gt;&lt;w:sz w:val=&quot;18&quot;/&gt;&lt;w:sz-cs w:val=&quot;16&quot;/&gt;&lt;/w:rPr&gt;&lt;m:t&gt;N&lt;/m:t&gt;&lt;/m:r&gt;&lt;/m:sup&gt;&lt;m:e&gt;&lt;m:sSub&gt;&lt;m:sSubPr&gt;&lt;m:ctrlPr&gt;&lt;w:rPr&gt;&lt;w:rFonts w:ascii=&quot;Cambria Math&quot; w:h-ansi=&quot;Cambria Math&quot;/&gt;&lt;wx:font wx:val=&quot;Cambria Math&quot;/&gt;&lt;w:i/&gt;&lt;w:sz w:val=&quot;18&quot;/&gt;&lt;w:sz-cs w:val=&quot;16&quot;/&gt;&lt;/w:rPr&gt;&lt;/m:ctrlPr&gt;&lt;/m:sSubPr&gt;&lt;m:e&gt;&lt;m:r&gt;&lt;w:rPr&gt;&lt;w:rFonts w:ascii=&quot;Cambria Math&quot; w:h-ansi=&quot;Cambria Math&quot;/&gt;&lt;wx:font wx:val=&quot;Cambria Math&quot;/&gt;&lt;w:i/&gt;&lt;w:sz w:val=&quot;18&quot;/&gt;&lt;w:sz-cs w:val=&quot;16&quot;/&gt;&lt;/w:rPr&gt;&lt;m:t&gt;L&lt;/m:t&gt;&lt;/m:r&gt;&lt;/m:e&gt;&lt;m:sub&gt;&lt;m:r&gt;&lt;w:rPr&gt;&lt;w:rFonts w:ascii=&quot;Cambria Math&quot; w:h-ansi=&quot;Cambria Math&quot;/&gt;&lt;wx:font wx:val=&quot;Cambria Math&quot;/&gt;&lt;w:i/&gt;&lt;w:sz w:val=&quot;18&quot;/&gt;&lt;w:sz-cs w:val=&quot;16&quot;/&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95F09">
              <w:rPr>
                <w:sz w:val="20"/>
                <w:szCs w:val="20"/>
              </w:rPr>
              <w:fldChar w:fldCharType="end"/>
            </w:r>
            <w:r w:rsidRPr="00295F09">
              <w:rPr>
                <w:sz w:val="20"/>
                <w:szCs w:val="20"/>
              </w:rPr>
              <w:t xml:space="preserve"> are reported implicitly or explicitly</w:t>
            </w:r>
          </w:p>
          <w:p w:rsidR="008A18C8" w:rsidRPr="00295F09" w:rsidRDefault="008A18C8" w:rsidP="008A18C8">
            <w:pPr>
              <w:snapToGrid w:val="0"/>
              <w:rPr>
                <w:sz w:val="20"/>
                <w:szCs w:val="20"/>
              </w:rPr>
            </w:pPr>
            <w:r w:rsidRPr="00295F09">
              <w:rPr>
                <w:sz w:val="20"/>
                <w:szCs w:val="20"/>
              </w:rPr>
              <w:t xml:space="preserve">FFS (by RAN1#111): </w:t>
            </w:r>
          </w:p>
          <w:p w:rsidR="008A18C8" w:rsidRPr="00295F09" w:rsidRDefault="008A18C8">
            <w:pPr>
              <w:pStyle w:val="ListParagraph"/>
              <w:numPr>
                <w:ilvl w:val="0"/>
                <w:numId w:val="19"/>
              </w:numPr>
              <w:snapToGrid w:val="0"/>
              <w:ind w:leftChars="0"/>
              <w:rPr>
                <w:rFonts w:ascii="Times New Roman" w:hAnsi="Times New Roman"/>
                <w:szCs w:val="20"/>
              </w:rPr>
            </w:pPr>
            <w:r w:rsidRPr="00295F09">
              <w:rPr>
                <w:rFonts w:ascii="Times New Roman" w:hAnsi="Times New Roman"/>
                <w:szCs w:val="20"/>
              </w:rPr>
              <w:t xml:space="preserve">Whether the supported candidate values for </w:t>
            </w:r>
            <w:r w:rsidRPr="00295F09">
              <w:rPr>
                <w:rFonts w:ascii="Times New Roman" w:hAnsi="Times New Roman"/>
                <w:i/>
                <w:szCs w:val="20"/>
              </w:rPr>
              <w:t>L</w:t>
            </w:r>
            <w:r w:rsidRPr="00295F09">
              <w:rPr>
                <w:rFonts w:ascii="Times New Roman" w:hAnsi="Times New Roman"/>
                <w:szCs w:val="20"/>
                <w:vertAlign w:val="subscript"/>
              </w:rPr>
              <w:t>n</w:t>
            </w:r>
            <w:r w:rsidRPr="00295F09" w:rsidDel="001C3674">
              <w:rPr>
                <w:rFonts w:ascii="Times New Roman" w:hAnsi="Times New Roman"/>
                <w:szCs w:val="20"/>
              </w:rPr>
              <w:t xml:space="preserve"> </w:t>
            </w:r>
            <w:r w:rsidRPr="00295F09">
              <w:rPr>
                <w:rFonts w:ascii="Times New Roman" w:hAnsi="Times New Roman"/>
                <w:szCs w:val="20"/>
              </w:rPr>
              <w:t xml:space="preserve">follow the legacy candidate values for </w:t>
            </w:r>
            <w:r w:rsidRPr="00295F09">
              <w:rPr>
                <w:rFonts w:ascii="Times New Roman" w:hAnsi="Times New Roman"/>
                <w:i/>
                <w:szCs w:val="20"/>
              </w:rPr>
              <w:t>L</w:t>
            </w:r>
            <w:r w:rsidRPr="00295F09">
              <w:rPr>
                <w:rFonts w:ascii="Times New Roman" w:hAnsi="Times New Roman"/>
                <w:szCs w:val="20"/>
              </w:rPr>
              <w:t>, or some additional value(s) are also supported</w:t>
            </w:r>
          </w:p>
          <w:p w:rsidR="008A18C8" w:rsidRPr="00295F09" w:rsidRDefault="008A18C8">
            <w:pPr>
              <w:pStyle w:val="ListParagraph"/>
              <w:numPr>
                <w:ilvl w:val="0"/>
                <w:numId w:val="19"/>
              </w:numPr>
              <w:snapToGrid w:val="0"/>
              <w:ind w:leftChars="0"/>
              <w:rPr>
                <w:rFonts w:ascii="Times New Roman" w:hAnsi="Times New Roman"/>
                <w:szCs w:val="20"/>
              </w:rPr>
            </w:pPr>
            <w:r w:rsidRPr="00295F09">
              <w:rPr>
                <w:rFonts w:ascii="Times New Roman" w:hAnsi="Times New Roman"/>
                <w:szCs w:val="20"/>
              </w:rPr>
              <w:t xml:space="preserve">If Alt4 is supported, whether the candidate values for </w:t>
            </w:r>
            <w:r w:rsidRPr="00295F09">
              <w:rPr>
                <w:rFonts w:ascii="Times New Roman" w:hAnsi="Times New Roman"/>
                <w:i/>
                <w:szCs w:val="20"/>
              </w:rPr>
              <w:t>L</w:t>
            </w:r>
            <w:r w:rsidRPr="00295F09">
              <w:rPr>
                <w:rFonts w:ascii="Times New Roman" w:hAnsi="Times New Roman"/>
                <w:szCs w:val="20"/>
                <w:vertAlign w:val="subscript"/>
              </w:rPr>
              <w:t>n</w:t>
            </w:r>
            <w:r w:rsidRPr="00295F09">
              <w:rPr>
                <w:rFonts w:ascii="Times New Roman" w:hAnsi="Times New Roman"/>
                <w:szCs w:val="20"/>
              </w:rPr>
              <w:t xml:space="preserve"> are gNB-configured via higher-layer signaling</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w:t>
            </w:r>
            <w:r w:rsidRPr="00295F09">
              <w:rPr>
                <w:i/>
                <w:sz w:val="20"/>
                <w:szCs w:val="20"/>
              </w:rPr>
              <w:t>for mode-1</w:t>
            </w:r>
            <w:r w:rsidRPr="00295F09">
              <w:rPr>
                <w:sz w:val="20"/>
                <w:szCs w:val="20"/>
              </w:rPr>
              <w:t xml:space="preserve">, study and down select (no later than RAN1#112) </w:t>
            </w:r>
            <w:r w:rsidRPr="00295F09">
              <w:rPr>
                <w:sz w:val="20"/>
                <w:szCs w:val="20"/>
                <w:u w:val="single"/>
              </w:rPr>
              <w:t>only one</w:t>
            </w:r>
            <w:r w:rsidRPr="00295F09">
              <w:rPr>
                <w:sz w:val="20"/>
                <w:szCs w:val="20"/>
              </w:rPr>
              <w:t xml:space="preserve"> from the following schemes: </w:t>
            </w:r>
          </w:p>
          <w:p w:rsidR="008A18C8" w:rsidRPr="00295F09" w:rsidRDefault="008A18C8">
            <w:pPr>
              <w:pStyle w:val="ListParagraph"/>
              <w:numPr>
                <w:ilvl w:val="0"/>
                <w:numId w:val="21"/>
              </w:numPr>
              <w:snapToGrid w:val="0"/>
              <w:ind w:leftChars="0"/>
              <w:contextualSpacing/>
              <w:rPr>
                <w:rFonts w:ascii="Times New Roman" w:hAnsi="Times New Roman"/>
                <w:szCs w:val="20"/>
              </w:rPr>
            </w:pPr>
            <w:r w:rsidRPr="00295F09">
              <w:rPr>
                <w:rFonts w:ascii="Times New Roman" w:hAnsi="Times New Roman"/>
                <w:szCs w:val="20"/>
              </w:rPr>
              <w:t xml:space="preserve">Alt1. The use of per-CSI-RS-resource FD basis selection offset (relative to a reference CSI-RS resource) for independent FD basis selection across N CSI-RS resources. </w:t>
            </w:r>
          </w:p>
          <w:p w:rsidR="008A18C8" w:rsidRPr="00295F09" w:rsidRDefault="008A18C8">
            <w:pPr>
              <w:pStyle w:val="ListParagraph"/>
              <w:numPr>
                <w:ilvl w:val="1"/>
                <w:numId w:val="21"/>
              </w:numPr>
              <w:snapToGrid w:val="0"/>
              <w:ind w:leftChars="0"/>
              <w:contextualSpacing/>
              <w:rPr>
                <w:rFonts w:ascii="Times New Roman" w:hAnsi="Times New Roman"/>
                <w:szCs w:val="20"/>
              </w:rPr>
            </w:pPr>
            <w:r w:rsidRPr="00295F09">
              <w:rPr>
                <w:rFonts w:ascii="Times New Roman" w:hAnsi="Times New Roman"/>
                <w:szCs w:val="20"/>
              </w:rPr>
              <w:t xml:space="preserve">Example formulation: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12"/>
                <w:szCs w:val="20"/>
              </w:rPr>
              <w:pict>
                <v:shape id="_x0000_i1068" type="#_x0000_t75" alt="" style="width:172.15pt;height:22.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6939&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D6939&quot; wsp:rsidP=&quot;002D6939&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12"/>
                <w:szCs w:val="20"/>
              </w:rPr>
              <w:pict>
                <v:shape id="_x0000_i1067" type="#_x0000_t75" alt="" style="width:172.15pt;height:22.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6939&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D6939&quot; wsp:rsidP=&quot;002D6939&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where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4"/>
                <w:szCs w:val="20"/>
              </w:rPr>
              <w:pict>
                <v:shape id="_x0000_i1066" type="#_x0000_t75" alt="" style="width:10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64B47&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64B47&quot; wsp:rsidP=&quot;00464B47&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4"/>
                <w:szCs w:val="20"/>
              </w:rPr>
              <w:pict>
                <v:shape id="_x0000_i1065" type="#_x0000_t75" alt="" style="width:10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64B47&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64B47&quot; wsp:rsidP=&quot;00464B47&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is the FD basis selection offset for CSI-RS resource </w:t>
            </w:r>
            <w:r w:rsidRPr="00295F09">
              <w:rPr>
                <w:rFonts w:ascii="Times New Roman" w:hAnsi="Times New Roman"/>
                <w:i/>
                <w:iCs/>
                <w:szCs w:val="20"/>
              </w:rPr>
              <w:t>n</w:t>
            </w:r>
            <w:r w:rsidRPr="00295F09">
              <w:rPr>
                <w:rFonts w:ascii="Times New Roman" w:hAnsi="Times New Roman"/>
                <w:iCs/>
                <w:szCs w:val="20"/>
              </w:rPr>
              <w:t xml:space="preserve"> relative to a reference CSI-RS resource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4"/>
                <w:szCs w:val="20"/>
              </w:rPr>
              <w:pict>
                <v:shape id="_x0000_i1064" type="#_x0000_t75" alt="" style="width:5.6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2648F&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52648F&quot; wsp:rsidP=&quot;0052648F&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4"/>
                <w:szCs w:val="20"/>
              </w:rPr>
              <w:pict>
                <v:shape id="_x0000_i1063" type="#_x0000_t75" alt="" style="width:5.6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2648F&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52648F&quot; wsp:rsidP=&quot;0052648F&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with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3F2720">
              <w:rPr>
                <w:rFonts w:ascii="Times New Roman" w:hAnsi="Times New Roman"/>
                <w:noProof/>
                <w:position w:val="-4"/>
                <w:szCs w:val="20"/>
              </w:rPr>
              <w:pict>
                <v:shape id="_x0000_i1062" type="#_x0000_t75" alt="" style="width:27.5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2DEC&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BD2DEC&quot; wsp:rsidP=&quot;00BD2DEC&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3F2720">
              <w:rPr>
                <w:rFonts w:ascii="Times New Roman" w:hAnsi="Times New Roman"/>
                <w:noProof/>
                <w:position w:val="-4"/>
                <w:szCs w:val="20"/>
              </w:rPr>
              <w:pict>
                <v:shape id="_x0000_i1061" type="#_x0000_t75" alt="" style="width:27.5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2DEC&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BD2DEC&quot; wsp:rsidP=&quot;00BD2DEC&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fldChar w:fldCharType="end"/>
            </w:r>
            <w:r w:rsidRPr="00295F09">
              <w:rPr>
                <w:rFonts w:ascii="Times New Roman" w:hAnsi="Times New Roman"/>
                <w:szCs w:val="20"/>
              </w:rPr>
              <w:t xml:space="preserve">, and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6"/>
                <w:szCs w:val="20"/>
              </w:rPr>
              <w:pict>
                <v:shape id="_x0000_i1060"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1741&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6D1741&quot; wsp:rsidP=&quot;006D1741&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6"/>
                <w:szCs w:val="20"/>
              </w:rPr>
              <w:pict>
                <v:shape id="_x0000_i1059"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1741&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6D1741&quot; wsp:rsidP=&quot;006D1741&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t>
            </w:r>
            <w:r w:rsidRPr="00295F09">
              <w:rPr>
                <w:rFonts w:ascii="Times New Roman" w:hAnsi="Times New Roman"/>
                <w:szCs w:val="20"/>
              </w:rPr>
              <w:t xml:space="preserve">is commonly selected across N CSI-RS resources </w:t>
            </w:r>
          </w:p>
          <w:p w:rsidR="008A18C8" w:rsidRPr="00295F09" w:rsidRDefault="008A18C8">
            <w:pPr>
              <w:pStyle w:val="ListParagraph"/>
              <w:numPr>
                <w:ilvl w:val="0"/>
                <w:numId w:val="20"/>
              </w:numPr>
              <w:snapToGrid w:val="0"/>
              <w:ind w:leftChars="0"/>
              <w:rPr>
                <w:rFonts w:ascii="Times New Roman" w:hAnsi="Times New Roman"/>
                <w:szCs w:val="20"/>
              </w:rPr>
            </w:pPr>
            <w:r w:rsidRPr="00295F09">
              <w:rPr>
                <w:rFonts w:ascii="Times New Roman" w:hAnsi="Times New Roman"/>
                <w:szCs w:val="20"/>
              </w:rPr>
              <w:t xml:space="preserve">Alt2.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6"/>
                <w:szCs w:val="20"/>
              </w:rPr>
              <w:pict>
                <v:shape id="_x0000_i1058" type="#_x0000_t75" alt="" style="width:18.8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20F3B&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20F3B&quot; wsp:rsidP=&quot;00120F3B&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6"/>
                <w:szCs w:val="20"/>
              </w:rPr>
              <w:pict>
                <v:shape id="_x0000_i1057" type="#_x0000_t75" alt="" style="width:18.8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20F3B&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120F3B&quot; wsp:rsidP=&quot;00120F3B&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independently selected across </w:t>
            </w:r>
            <w:r w:rsidRPr="00295F09">
              <w:rPr>
                <w:rFonts w:ascii="Times New Roman" w:hAnsi="Times New Roman"/>
                <w:szCs w:val="20"/>
              </w:rPr>
              <w:t>N CSI-RS resources (without any per-CSI-RS-resource FD basis selection offset)</w:t>
            </w:r>
          </w:p>
          <w:p w:rsidR="008A18C8" w:rsidRPr="00295F09" w:rsidRDefault="008A18C8">
            <w:pPr>
              <w:pStyle w:val="ListParagraph"/>
              <w:numPr>
                <w:ilvl w:val="0"/>
                <w:numId w:val="21"/>
              </w:numPr>
              <w:snapToGrid w:val="0"/>
              <w:ind w:leftChars="0"/>
              <w:contextualSpacing/>
              <w:rPr>
                <w:rFonts w:ascii="Times New Roman" w:eastAsia="DengXian" w:hAnsi="Times New Roman"/>
                <w:szCs w:val="20"/>
              </w:rPr>
            </w:pPr>
            <w:r w:rsidRPr="00295F09">
              <w:rPr>
                <w:rFonts w:ascii="Times New Roman" w:hAnsi="Times New Roman"/>
                <w:szCs w:val="20"/>
              </w:rPr>
              <w:t>Alt</w:t>
            </w:r>
            <w:r w:rsidRPr="00295F09">
              <w:rPr>
                <w:rFonts w:ascii="Times New Roman" w:eastAsia="DengXian" w:hAnsi="Times New Roman"/>
                <w:szCs w:val="20"/>
              </w:rPr>
              <w:t>3</w:t>
            </w:r>
            <w:r w:rsidRPr="00295F09">
              <w:rPr>
                <w:rFonts w:ascii="Times New Roman" w:hAnsi="Times New Roman"/>
                <w:szCs w:val="20"/>
              </w:rPr>
              <w:t xml:space="preserve">. The use of per-CSI-RS-resource FD basis selection offset (relative to a reference CSI-RS resource) for independent FD basis selection across N CSI-RS resources. </w:t>
            </w:r>
          </w:p>
          <w:p w:rsidR="008A18C8" w:rsidRPr="00295F09" w:rsidRDefault="008A18C8">
            <w:pPr>
              <w:pStyle w:val="ListParagraph"/>
              <w:numPr>
                <w:ilvl w:val="1"/>
                <w:numId w:val="21"/>
              </w:numPr>
              <w:snapToGrid w:val="0"/>
              <w:ind w:leftChars="0"/>
              <w:contextualSpacing/>
              <w:rPr>
                <w:rFonts w:ascii="Times New Roman" w:eastAsia="DengXian" w:hAnsi="Times New Roman"/>
                <w:szCs w:val="20"/>
              </w:rPr>
            </w:pPr>
            <w:r w:rsidRPr="00295F09">
              <w:rPr>
                <w:rFonts w:ascii="Times New Roman" w:hAnsi="Times New Roman"/>
                <w:szCs w:val="20"/>
              </w:rPr>
              <w:t xml:space="preserve">Example formulation: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12"/>
                <w:szCs w:val="20"/>
              </w:rPr>
              <w:pict>
                <v:shape id="_x0000_i1056" type="#_x0000_t75" alt="" style="width:177.2pt;height:22.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461DA&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461DA&quot; wsp:rsidP=&quot;004461DA&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12"/>
                <w:szCs w:val="20"/>
              </w:rPr>
              <w:pict>
                <v:shape id="_x0000_i1055" type="#_x0000_t75" alt="" style="width:177.2pt;height:22.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461DA&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4461DA&quot; wsp:rsidP=&quot;004461DA&quot;&gt;&lt;m:oMathPara&gt;&lt;m:oMath&gt;&lt;m:sSub&gt;&lt;m:sSubPr&gt;&lt;m:ctrlPr&gt;&lt;w:rPr&gt;&lt;w:rFonts w:ascii=&quot;Cambria Math&quot; w:h-ansi=&quot;Cambria Math&quot;/&gt;&lt;wx:font wx:val=&quot;Cambria Math&quot;/&gt;&lt;w:i/&gt;&lt;w:i-cs/&gt;&lt;w:sz w:val=&quot;18&quot;/&gt;&lt;w:sz-cs w:val=&quot;20&quot;/&gt;&lt;/w:rPr&gt;&lt;/m:ctrlPr&gt;&lt;/m:sSubPr&gt;&lt;m:e&gt;&lt;m:r&gt;&lt;m:rPr&gt;&lt;m:sty m:val=&quot;bi&quot;/&gt;&lt;/m:rPr&gt;&lt;w:rPr&gt;&lt;w:rFonts w:ascii=&quot;Cambria Math&quot; w:h-ansi=&quot;Cambria Math&quot;/&gt;&lt;wx:font wx:val=&quot;Cambria Math&quot;/&gt;&lt;w:b/&gt;&lt;w:i/&gt;&lt;w:sz w:val=&quot;18&quot;/&gt;&lt;w:sz-cs w:val=&quot;20&quot;/&gt;&lt;/w:rPr&gt;&lt;m:t&gt;W&lt;/m:t&gt;&lt;/m:r&gt;&lt;/m:e&gt;&lt;m:sub&gt;&lt;m:r&gt;&lt;w:rPr&gt;&lt;w:rFonts w:ascii=&quot;Cambria Math&quot; w:h-ansi=&quot;Cambria Math&quot;/&gt;&lt;wx:font wx:val=&quot;Cambria Math&quot;/&gt;&lt;w:i/&gt;&lt;w:sz w:val=&quot;18&quot;/&gt;&lt;w:sz-cs w:val=&quot;20&quot;/&gt;&lt;/w:rPr&gt;&lt;m:t&gt;f,n&lt;/m:t&gt;&lt;/m:r&gt;&lt;/m:sub&gt;&lt;/m:sSub&gt;&lt;m:r&gt;&lt;w:rPr&gt;&lt;w:rFonts w:ascii=&quot;Cambria Math&quot; w:h-ansi=&quot;Cambria Math&quot;/&gt;&lt;wx:font wx:val=&quot;Cambria Math&quot;/&gt;&lt;w:i/&gt;&lt;w:sz w:val=&quot;18&quot;/&gt;&lt;w:sz-cs w:val=&quot;20&quot;/&gt;&lt;/w:rPr&gt;&lt;m:t&gt;=&lt;/m:t&gt;&lt;/m:r&gt;&lt;m:r&gt;&lt;m:rPr&gt;&lt;m:sty m:val=&quot;p&quot;/&gt;&lt;/m:rPr&gt;&lt;w:rPr&gt;&lt;w:rFonts w:ascii=&quot;Cambria Math&quot; w:h-ansi=&quot;Cambria Math&quot;/&gt;&lt;wx:font wx:val=&quot;Cambria Math&quot;/&gt;&lt;w:sz w:val=&quot;18&quot;/&gt;&lt;w:sz-cs w:val=&quot;20&quot;/&gt;&lt;/w:rPr&gt;&lt;m:t&gt;diag&lt;/m:t&gt;&lt;/m:r&gt;&lt;m:r&gt;&lt;w:rPr&gt;&lt;w:rFonts w:ascii=&quot;Cambria Math&quot; w:h-ansi=&quot;Cambria Math&quot;/&gt;&lt;wx:font wx:val=&quot;Cambria Math&quot;/&gt;&lt;w:i/&gt;&lt;w:sz w:val=&quot;18&quot;/&gt;&lt;w:sz-cs w:val=&quot;20&quot;/&gt;&lt;/w:rPr&gt;&lt;m:t&gt;(&lt;/m:t&gt;&lt;/m:r&gt;&lt;m:sSup&gt;&lt;m:sSupPr&gt;&lt;m:ctrlPr&gt;&lt;w:rPr&gt;&lt;w:rFonts w:ascii=&quot;Cambria Math&quot; w:h-ansi=&quot;Cambria Math&quot;/&gt;&lt;wx:font wx:val=&quot;Cambria Math&quot;/&gt;&lt;w:i/&gt;&lt;w:i-cs/&gt;&lt;w:sz w:val=&quot;18&quot;/&gt;&lt;w:sz-cs w:val=&quot;20&quot;/&gt;&lt;/w:rPr&gt;&lt;/m:ctrlPr&gt;&lt;/m:sSupPr&gt;&lt;m:e&gt;&lt;m:d&gt;&lt;m:dPr&gt;&lt;m:begChr m:val=&quot;[&quot;/&gt;&lt;m:endChr m:val=&quot;]&quot;/&gt;&lt;m:ctrlPr&gt;&lt;w:rPr&gt;&lt;w:rFonts w:ascii=&quot;Cambria Math&quot; w:h-ansi=&quot;Cambria Math&quot;/&gt;&lt;wx:font wx:val=&quot;Cambria Math&quot;/&gt;&lt;w:i/&gt;&lt;w:sz w:val=&quot;18&quot;/&gt;&lt;w:sz-cs w:val=&quot;20&quot;/&gt;&lt;/w:rPr&gt;&lt;/m:ctrlPr&gt;&lt;/m:dPr&gt;&lt;m:e&gt;&lt;m:r&gt;&lt;w:rPr&gt;&lt;w:rFonts w:ascii=&quot;Cambria Math&quot; w:h-ansi=&quot;Cambria Math&quot;/&gt;&lt;wx:font wx:val=&quot;Cambria Math&quot;/&gt;&lt;w:i/&gt;&lt;w:sz w:val=&quot;18&quot;/&gt;&lt;w:sz-cs w:val=&quot;20&quot;/&gt;&lt;/w:rPr&gt;&lt;m:t&gt;1&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 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sup&gt;&lt;/m:sSup&gt;&lt;m:r&gt;&lt;w:rPr&gt;&lt;w:rFonts w:ascii=&quot;Cambria Math&quot; w:h-ansi=&quot;Cambria Math&quot;/&gt;&lt;wx:font wx:val=&quot;Cambria Math&quot;/&gt;&lt;w:i/&gt;&lt;w:sz w:val=&quot;18&quot;/&gt;&lt;w:sz-cs w:val=&quot;20&quot;/&gt;&lt;/w:rPr&gt;&lt;m:t&gt;‚Ä¶. &lt;/m:t&gt;&lt;/m:r&gt;&lt;m:sSup&gt;&lt;m:sSupPr&gt;&lt;m:ctrlPr&gt;&lt;w:rPr&gt;&lt;w:rFonts w:ascii=&quot;Cambria Math&quot; w:h-ansi=&quot;Cambria Math&quot;/&gt;&lt;wx:font wx:val=&quot;Cambria Math&quot;/&gt;&lt;w:i/&gt;&lt;w:i-cs/&gt;&lt;w:sz w:val=&quot;18&quot;/&gt;&lt;w:sz-cs w:val=&quot;20&quot;/&gt;&lt;/w:rPr&gt;&lt;/m:ctrlPr&gt;&lt;/m:sSupPr&gt;&lt;m:e&gt;&lt;m:r&gt;&lt;w:rPr&gt;&lt;w:rFonts w:ascii=&quot;Cambria Math&quot; w:h-ansi=&quot;Cambria Math&quot;/&gt;&lt;wx:font wx:val=&quot;Cambria Math&quot;/&gt;&lt;w:i/&gt;&lt;w:sz w:val=&quot;18&quot;/&gt;&lt;w:sz-cs w:val=&quot;20&quot;/&gt;&lt;/w:rPr&gt;&lt;m:t&gt;e&lt;/m:t&gt;&lt;/m:r&gt;&lt;/m:e&gt;&lt;m:sup&gt;&lt;m:r&gt;&lt;w:rPr&gt;&lt;w:rFonts w:ascii=&quot;Cambria Math&quot; w:h-ansi=&quot;Cambria Math&quot;/&gt;&lt;wx:font wx:val=&quot;Cambria Math&quot;/&gt;&lt;w:i/&gt;&lt;w:sz w:val=&quot;18&quot;/&gt;&lt;w:sz-cs w:val=&quot;20&quot;/&gt;&lt;/w:rPr&gt;&lt;m:t&gt;j&lt;/m:t&gt;&lt;/m:r&gt;&lt;m:f&gt;&lt;m:fPr&gt;&lt;m:ctrlPr&gt;&lt;w:rPr&gt;&lt;w:rFonts w:ascii=&quot;Cambria Math&quot; w:h-ansi=&quot;Cambria Math&quot;/&gt;&lt;wx:font wx:val=&quot;Cambria Math&quot;/&gt;&lt;w:i/&gt;&lt;w:i-cs/&gt;&lt;w:sz w:val=&quot;18&quot;/&gt;&lt;w:sz-cs w:val=&quot;20&quot;/&gt;&lt;/w:rPr&gt;&lt;/m:ctrlPr&gt;&lt;/m:fPr&gt;&lt;m:num&gt;&lt;m:r&gt;&lt;w:rPr&gt;&lt;w:rFonts w:ascii=&quot;Cambria Math&quot; w:h-ansi=&quot;Cambria Math&quot;/&gt;&lt;wx:font wx:val=&quot;Cambria Math&quot;/&gt;&lt;w:i/&gt;&lt;w:sz w:val=&quot;18&quot;/&gt;&lt;w:sz-cs w:val=&quot;20&quot;/&gt;&lt;/w:rPr&gt;&lt;m:t&gt;2œÄ&lt;/m:t&gt;&lt;/m:r&gt;&lt;/m:num&gt;&lt;m:den&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den&gt;&lt;/m:f&gt;&lt;m:sSub&gt;&lt;m:sSubPr&gt;&lt;m:ctrlPr&gt;&lt;w:rPr&gt;&lt;w:rFonts w:ascii=&quot;Cambria Math&quot; w:h-ansi=&quot;Cambria Math&quot;/&gt;&lt;wx:font wx:val=&quot;Cambria Math&quot;/&gt;&lt;w:i/&gt;&lt;w:i-cs/&gt;&lt;w:sz w:val=&quot;18&quot;/&gt;&lt;w:sz-cs w:val=&quot;20&quot;/&gt;&lt;/w:rPr&gt;&lt;/m:ctrlPr&gt;&lt;/m:sSubP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3&lt;/m:t&gt;&lt;/m:r&gt;&lt;/m:sub&gt;&lt;/m:sSub&gt;&lt;m:r&gt;&lt;w:rPr&gt;&lt;w:rFonts w:ascii=&quot;Cambria Math&quot; w:h-ansi=&quot;Cambria Math&quot;/&gt;&lt;wx:font wx:val=&quot;Cambria Math&quot;/&gt;&lt;w:i/&gt;&lt;w:sz w:val=&quot;18&quot;/&gt;&lt;w:sz-cs w:val=&quot;20&quot;/&gt;&lt;/w:rPr&gt;&lt;m:t&gt;-1)œÜ&lt;/m:t&gt;&lt;/m:r&gt;&lt;/m:e&gt;&lt;m:sub&gt;&lt;m:r&gt;&lt;w:rPr&gt;&lt;w:rFonts w:ascii=&quot;Cambria Math&quot; w:h-ansi=&quot;Cambria Math&quot;/&gt;&lt;wx:font wx:val=&quot;Cambria Math&quot;/&gt;&lt;w:i/&gt;&lt;w:sz w:val=&quot;18&quot;/&gt;&lt;w:sz-cs w:val=&quot;20&quot;/&gt;&lt;/w:rPr&gt;&lt;m:t&gt;n&lt;/m:t&gt;&lt;/m:r&gt;&lt;/m:sub&gt;&lt;/m:sSub&gt;&lt;/m:sup&gt;&lt;/m:sSup&gt;&lt;m:ctrlPr&gt;&lt;w:rPr&gt;&lt;w:rFonts w:ascii=&quot;Cambria Math&quot; w:h-ansi=&quot;Cambria Math&quot;/&gt;&lt;wx:font wx:val=&quot;Cambria Math&quot;/&gt;&lt;w:i/&gt;&lt;w:i-cs/&gt;&lt;w:sz w:val=&quot;18&quot;/&gt;&lt;w:sz-cs w:val=&quot;20&quot;/&gt;&lt;/w:rPr&gt;&lt;/m:ctrlPr&gt;&lt;/m:e&gt;&lt;/m:d&gt;&lt;/m:e&gt;&lt;m:sup/&gt;&lt;/m:sSup&gt;&lt;m:r&gt;&lt;w:rPr&gt;&lt;w:rFonts w:ascii=&quot;Cambria Math&quot; w:h-ansi=&quot;Cambria Math&quot;/&gt;&lt;wx:font wx:val=&quot;Cambria Math&quot;/&gt;&lt;w:i/&gt;&lt;w:sz w:val=&quot;18&quot;/&gt;&lt;w:sz-cs w:val=&quot;20&quot;/&gt;&lt;/w:rPr&gt;&lt;m:t&gt;)&lt;/m:t&gt;&lt;/m:r&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where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4"/>
                <w:szCs w:val="20"/>
              </w:rPr>
              <w:pict>
                <v:shape id="_x0000_i1054" type="#_x0000_t75" alt="" style="width:10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66F71&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66F71&quot; wsp:rsidP=&quot;00266F71&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4"/>
                <w:szCs w:val="20"/>
              </w:rPr>
              <w:pict>
                <v:shape id="_x0000_i1053" type="#_x0000_t75" alt="" style="width:10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66F71&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266F71&quot; wsp:rsidP=&quot;00266F71&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r&gt;&lt;w:rPr&gt;&lt;w:rFonts w:ascii=&quot;Cambria Math&quot; w:h-ansi=&quot;Cambria Math&quot;/&gt;&lt;wx:font wx:val=&quot;Cambria Math&quot;/&gt;&lt;w:i/&gt;&lt;w:sz w:val=&quot;18&quot;/&gt;&lt;w:sz-cs w:val=&quot;20&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is the FD basis selection offset for CSI-RS resource </w:t>
            </w:r>
            <w:r w:rsidRPr="00295F09">
              <w:rPr>
                <w:rFonts w:ascii="Times New Roman" w:hAnsi="Times New Roman"/>
                <w:i/>
                <w:iCs/>
                <w:szCs w:val="20"/>
              </w:rPr>
              <w:t>n</w:t>
            </w:r>
            <w:r w:rsidRPr="00295F09">
              <w:rPr>
                <w:rFonts w:ascii="Times New Roman" w:hAnsi="Times New Roman"/>
                <w:iCs/>
                <w:szCs w:val="20"/>
              </w:rPr>
              <w:t xml:space="preserve"> relative to a reference CSI-RS resource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4"/>
                <w:szCs w:val="20"/>
              </w:rPr>
              <w:pict>
                <v:shape id="_x0000_i1052" type="#_x0000_t75" alt="" style="width:5.6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B4EB5&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B4EB5&quot; wsp:rsidP=&quot;00FB4EB5&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4"/>
                <w:szCs w:val="20"/>
              </w:rPr>
              <w:pict>
                <v:shape id="_x0000_i1051" type="#_x0000_t75" alt="" style="width:5.6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B4EB5&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B4EB5&quot; wsp:rsidP=&quot;00FB4EB5&quot;&gt;&lt;m:oMathPara&gt;&lt;m:oMath&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with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3F2720">
              <w:rPr>
                <w:rFonts w:ascii="Times New Roman" w:hAnsi="Times New Roman"/>
                <w:noProof/>
                <w:position w:val="-4"/>
                <w:szCs w:val="20"/>
              </w:rPr>
              <w:pict>
                <v:shape id="_x0000_i1050" type="#_x0000_t75" alt="" style="width:27.5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14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00146&quot; wsp:rsidP=&quot;00F00146&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3F2720">
              <w:rPr>
                <w:rFonts w:ascii="Times New Roman" w:hAnsi="Times New Roman"/>
                <w:noProof/>
                <w:position w:val="-4"/>
                <w:szCs w:val="20"/>
              </w:rPr>
              <w:pict>
                <v:shape id="_x0000_i1049" type="#_x0000_t75" alt="" style="width:27.5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14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F00146&quot; wsp:rsidP=&quot;00F00146&quot;&gt;&lt;m:oMathPara&gt;&lt;m:oMath&gt;&lt;m:sSub&gt;&lt;m:sSubPr&gt;&lt;m:ctrlPr&gt;&lt;w:rPr&gt;&lt;w:rFonts w:ascii=&quot;Cambria Math&quot; w:h-ansi=&quot;Cambria Math&quot;/&gt;&lt;wx:font wx:val=&quot;Cambria Math&quot;/&gt;&lt;w:i/&gt;&lt;w:i-cs/&gt;&lt;w:sz w:val=&quot;18&quot;/&gt;&lt;w:sz-cs w:val=&quot;20&quot;/&gt;&lt;/w:rPr&gt;&lt;/m:ctrlPr&gt;&lt;/m:sSubPr&gt;&lt;m:e&gt;&lt;m:r&gt;&lt;w:rPr&gt;&lt;w:rFonts w:ascii=&quot;Cambria Math&quot; w:h-ansi=&quot;Cambria Math&quot;/&gt;&lt;wx:font wx:val=&quot;Cambria Math&quot;/&gt;&lt;w:i/&gt;&lt;w:sz w:val=&quot;18&quot;/&gt;&lt;w:sz-cs w:val=&quot;20&quot;/&gt;&lt;/w:rPr&gt;&lt;m:t&gt;œÜ&lt;/m:t&gt;&lt;/m:r&gt;&lt;/m:e&gt;&lt;m:sub&gt;&lt;m:acc&gt;&lt;m:accPr&gt;&lt;m:chr m:val=&quot;ÃÉ&quot;/&gt;&lt;m:ctrlPr&gt;&lt;w:rPr&gt;&lt;w:rFonts w:ascii=&quot;Cambria Math&quot; w:h-ansi=&quot;Cambria Math&quot;/&gt;&lt;wx:font wx:val=&quot;Cambria Math&quot;/&gt;&lt;w:i/&gt;&lt;w:i-cs/&gt;&lt;w:sz w:val=&quot;18&quot;/&gt;&lt;w:sz-cs w:val=&quot;20&quot;/&gt;&lt;/w:rPr&gt;&lt;/m:ctrlPr&gt;&lt;/m:accPr&gt;&lt;m:e&gt;&lt;m:r&gt;&lt;w:rPr&gt;&lt;w:rFonts w:ascii=&quot;Cambria Math&quot; w:h-ansi=&quot;Cambria Math&quot;/&gt;&lt;wx:font wx:val=&quot;Cambria Math&quot;/&gt;&lt;w:i/&gt;&lt;w:sz w:val=&quot;18&quot;/&gt;&lt;w:sz-cs w:val=&quot;20&quot;/&gt;&lt;/w:rPr&gt;&lt;m:t&gt;n&lt;/m:t&gt;&lt;/m:r&gt;&lt;/m:e&gt;&lt;/m:acc&gt;&lt;/m:sub&gt;&lt;/m:sSub&gt;&lt;m:r&gt;&lt;w:rPr&gt;&lt;w:rFonts w:ascii=&quot;Cambria Math&quot; w:h-ansi=&quot;Cambria Math&quot;/&gt;&lt;wx:font wx:val=&quot;Cambria Math&quot;/&gt;&lt;w:i/&gt;&lt;w:sz w:val=&quot;18&quot;/&gt;&lt;w:sz-cs w:val=&quot;20&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95F09">
              <w:rPr>
                <w:rFonts w:ascii="Times New Roman" w:hAnsi="Times New Roman"/>
                <w:szCs w:val="20"/>
              </w:rPr>
              <w:fldChar w:fldCharType="end"/>
            </w:r>
            <w:r w:rsidRPr="00295F09">
              <w:rPr>
                <w:rFonts w:ascii="Times New Roman" w:hAnsi="Times New Roman"/>
                <w:szCs w:val="20"/>
              </w:rPr>
              <w:t xml:space="preserve">, and </w:t>
            </w:r>
            <w:r w:rsidRPr="00295F09">
              <w:rPr>
                <w:rFonts w:ascii="Times New Roman" w:hAnsi="Times New Roman"/>
                <w:iCs/>
                <w:szCs w:val="20"/>
              </w:rPr>
              <w:fldChar w:fldCharType="begin"/>
            </w:r>
            <w:r w:rsidRPr="00295F09">
              <w:rPr>
                <w:rFonts w:ascii="Times New Roman" w:hAnsi="Times New Roman"/>
                <w:iCs/>
                <w:szCs w:val="20"/>
              </w:rPr>
              <w:instrText xml:space="preserve"> QUOTE </w:instrText>
            </w:r>
            <w:r w:rsidR="003F2720">
              <w:rPr>
                <w:rFonts w:ascii="Times New Roman" w:hAnsi="Times New Roman"/>
                <w:noProof/>
                <w:position w:val="-6"/>
                <w:szCs w:val="20"/>
              </w:rPr>
              <w:pict>
                <v:shape id="_x0000_i1048" type="#_x0000_t75" alt="" style="width:18.8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A6BA8&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3A6BA8&quot; wsp:rsidP=&quot;003A6BA8&quot;&gt;&lt;m:oMathPara&gt;&lt;m:oMath&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95F09">
              <w:rPr>
                <w:rFonts w:ascii="Times New Roman" w:hAnsi="Times New Roman"/>
                <w:iCs/>
                <w:szCs w:val="20"/>
              </w:rPr>
              <w:instrText xml:space="preserve"> </w:instrText>
            </w:r>
            <w:r w:rsidRPr="00295F09">
              <w:rPr>
                <w:rFonts w:ascii="Times New Roman" w:hAnsi="Times New Roman"/>
                <w:iCs/>
                <w:szCs w:val="20"/>
              </w:rPr>
              <w:fldChar w:fldCharType="separate"/>
            </w:r>
            <w:r w:rsidR="003F2720">
              <w:rPr>
                <w:rFonts w:ascii="Times New Roman" w:hAnsi="Times New Roman"/>
                <w:noProof/>
                <w:position w:val="-6"/>
                <w:szCs w:val="20"/>
              </w:rPr>
              <w:pict>
                <v:shape id="_x0000_i1047" type="#_x0000_t75" alt="" style="width:18.8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A6BA8&quot;/&gt;&lt;wsp:rsid wsp:val=&quot;003B0BF8&quot;/&gt;&lt;wsp:rsid wsp:val=&quot;003B3DC0&quot;/&gt;&lt;wsp:rsid wsp:val=&quot;003B5963&quot;/&gt;&lt;wsp:rsid wsp:val=&quot;003B6548&quot;/&gt;&lt;wsp:rsid wsp:val=&quot;003D33A8&quot;/&gt;&lt;wsp:rsid wsp:val=&quot;003E0305&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3A6BA8&quot; wsp:rsidP=&quot;003A6BA8&quot;&gt;&lt;m:oMathPara&gt;&lt;m:oMath&gt;&lt;m:sSub&gt;&lt;m:sSubPr&gt;&lt;m:ctrlPr&gt;&lt;w:rPr&gt;&lt;w:rFonts w:ascii=&quot;Cambria Math&quot; w:h-ansi=&quot;Cambria Math&quot;/&gt;&lt;wx:font wx:val=&quot;Cambria Math&quot;/&gt;&lt;w:i/&gt;&lt;w:i-cs/&gt;&lt;w:sz w:val=&quot;18&quot;/&gt;&lt;w:sz-cs w:val=&quot;20&quot;/&gt;&lt;/w:rPr&gt;&lt;/m:ctrlPr&gt;&lt;/m:sSubPr&gt;&lt;m:e&gt;&lt;m:acc&gt;&lt;m:accPr&gt;&lt;m:chr m:val=&quot;ÃÉ&quot;/&gt;&lt;m:ctrlPr&gt;&lt;w:rPr&gt;&lt;w:rFonts w:ascii=&quot;Cambria Math&quot; w:h-ansi=&quot;Cambria Math&quot;/&gt;&lt;wx:font wx:val=&quot;Cambria Math&quot;/&gt;&lt;w:b/&gt;&lt;w:i/&gt;&lt;w:sz w:val=&quot;18&quot;/&gt;&lt;w:sz-cs w:val=&quot;20&quot;/&gt;&lt;/w:rPr&gt;&lt;/m:ctrlPr&gt;&lt;/m:accPr&gt;&lt;m:e&gt;&lt;m:r&gt;&lt;m:rPr&gt;&lt;m:sty m:val=&quot;bi&quot;/&gt;&lt;/m:rPr&gt;&lt;w:rPr&gt;&lt;w:rFonts w:ascii=&quot;Cambria Math&quot; w:h-ansi=&quot;Cambria Math&quot;/&gt;&lt;wx:font wx:val=&quot;Cambria Math&quot;/&gt;&lt;w:b/&gt;&lt;w:i/&gt;&lt;w:sz w:val=&quot;18&quot;/&gt;&lt;w:sz-cs w:val=&quot;20&quot;/&gt;&lt;/w:rPr&gt;&lt;m:t&gt;W&lt;/m:t&gt;&lt;/m:r&gt;&lt;/m:e&gt;&lt;/m:acc&gt;&lt;/m:e&gt;&lt;m:sub&gt;&lt;m:r&gt;&lt;w:rPr&gt;&lt;w:rFonts w:ascii=&quot;Cambria Math&quot; w:h-ansi=&quot;Cambria Math&quot;/&gt;&lt;wx:font wx:val=&quot;Cambria Math&quot;/&gt;&lt;w:i/&gt;&lt;w:sz w:val=&quot;18&quot;/&gt;&lt;w:sz-cs w:val=&quot;20&quot;/&gt;&lt;/w:rPr&gt;&lt;m:t&gt;f,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95F09">
              <w:rPr>
                <w:rFonts w:ascii="Times New Roman" w:hAnsi="Times New Roman"/>
                <w:iCs/>
                <w:szCs w:val="20"/>
              </w:rPr>
              <w:fldChar w:fldCharType="end"/>
            </w:r>
            <w:r w:rsidRPr="00295F09">
              <w:rPr>
                <w:rFonts w:ascii="Times New Roman" w:hAnsi="Times New Roman"/>
                <w:iCs/>
                <w:szCs w:val="20"/>
              </w:rPr>
              <w:t xml:space="preserve"> </w:t>
            </w:r>
            <w:r w:rsidRPr="00295F09">
              <w:rPr>
                <w:rFonts w:ascii="Times New Roman" w:hAnsi="Times New Roman"/>
                <w:szCs w:val="20"/>
              </w:rPr>
              <w:t xml:space="preserve">is </w:t>
            </w:r>
            <w:r w:rsidRPr="00295F09">
              <w:rPr>
                <w:rFonts w:ascii="Times New Roman" w:eastAsia="DengXian" w:hAnsi="Times New Roman"/>
                <w:szCs w:val="20"/>
              </w:rPr>
              <w:t>independently</w:t>
            </w:r>
            <w:r w:rsidRPr="00295F09">
              <w:rPr>
                <w:rFonts w:ascii="Times New Roman" w:hAnsi="Times New Roman"/>
                <w:szCs w:val="20"/>
              </w:rPr>
              <w:t xml:space="preserve"> selected across N CSI-RS resources </w:t>
            </w:r>
          </w:p>
          <w:p w:rsidR="008A18C8" w:rsidRPr="00295F09" w:rsidRDefault="008A18C8" w:rsidP="008A18C8">
            <w:pPr>
              <w:snapToGrid w:val="0"/>
              <w:rPr>
                <w:sz w:val="20"/>
                <w:szCs w:val="20"/>
              </w:rPr>
            </w:pPr>
            <w:r w:rsidRPr="00295F09">
              <w:rPr>
                <w:sz w:val="20"/>
                <w:szCs w:val="20"/>
              </w:rPr>
              <w:t>For all the above alternatives, the legacy FD basis selection indication scheme is applied on each selected FD basis.</w:t>
            </w:r>
          </w:p>
          <w:p w:rsidR="008A18C8" w:rsidRPr="00295F09" w:rsidRDefault="008A18C8" w:rsidP="008A18C8">
            <w:pPr>
              <w:snapToGrid w:val="0"/>
              <w:rPr>
                <w:sz w:val="20"/>
                <w:szCs w:val="20"/>
              </w:rPr>
            </w:pPr>
            <w:r w:rsidRPr="00295F09">
              <w:rPr>
                <w:sz w:val="20"/>
                <w:szCs w:val="20"/>
              </w:rPr>
              <w:t>Note: Per previous agreements, the number of selected FS basis vectors (M</w:t>
            </w:r>
            <w:r w:rsidRPr="00295F09">
              <w:rPr>
                <w:sz w:val="20"/>
                <w:szCs w:val="20"/>
                <w:vertAlign w:val="subscript"/>
              </w:rPr>
              <w:t>v</w:t>
            </w:r>
            <w:r w:rsidRPr="00295F09">
              <w:rPr>
                <w:sz w:val="20"/>
                <w:szCs w:val="20"/>
              </w:rPr>
              <w:t>/p</w:t>
            </w:r>
            <w:r w:rsidRPr="00295F09">
              <w:rPr>
                <w:sz w:val="20"/>
                <w:szCs w:val="20"/>
                <w:vertAlign w:val="subscript"/>
              </w:rPr>
              <w:t>v</w:t>
            </w:r>
            <w:r w:rsidRPr="00295F09">
              <w:rPr>
                <w:sz w:val="20"/>
                <w:szCs w:val="20"/>
              </w:rPr>
              <w:t xml:space="preserve"> or M) is gNB-configured via higher-layer signaling and common across the N CSI-RS resources</w:t>
            </w: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there is no consensus on applying DD unit for CQI. Therefore, DD unit (of size </w:t>
            </w:r>
            <w:r w:rsidRPr="00295F09">
              <w:rPr>
                <w:i/>
                <w:sz w:val="20"/>
                <w:szCs w:val="20"/>
              </w:rPr>
              <w:t>d</w:t>
            </w:r>
            <w:r w:rsidRPr="00295F09">
              <w:rPr>
                <w:sz w:val="20"/>
                <w:szCs w:val="20"/>
              </w:rPr>
              <w:t xml:space="preserve"> slots) is applied only to PMI.</w:t>
            </w:r>
          </w:p>
          <w:p w:rsidR="008A18C8" w:rsidRPr="00295F09" w:rsidRDefault="008A18C8">
            <w:pPr>
              <w:pStyle w:val="ListParagraph"/>
              <w:numPr>
                <w:ilvl w:val="0"/>
                <w:numId w:val="21"/>
              </w:numPr>
              <w:snapToGrid w:val="0"/>
              <w:ind w:leftChars="0"/>
              <w:contextualSpacing/>
              <w:rPr>
                <w:rFonts w:ascii="Times New Roman" w:hAnsi="Times New Roman"/>
                <w:szCs w:val="20"/>
              </w:rPr>
            </w:pPr>
            <w:r w:rsidRPr="00295F09">
              <w:rPr>
                <w:rFonts w:ascii="Times New Roman" w:hAnsi="Times New Roman"/>
                <w:szCs w:val="20"/>
              </w:rPr>
              <w:t>Note: This conclusion has no impact on the number of CQIs included in one CSI reporting instance (a separate issue to be decided separately)</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w:t>
            </w:r>
          </w:p>
          <w:p w:rsidR="008A18C8" w:rsidRPr="00295F09" w:rsidRDefault="008A18C8">
            <w:pPr>
              <w:numPr>
                <w:ilvl w:val="0"/>
                <w:numId w:val="22"/>
              </w:numPr>
              <w:snapToGrid w:val="0"/>
              <w:rPr>
                <w:sz w:val="20"/>
                <w:szCs w:val="20"/>
              </w:rPr>
            </w:pPr>
            <w:r w:rsidRPr="00295F09">
              <w:rPr>
                <w:sz w:val="20"/>
                <w:szCs w:val="20"/>
              </w:rPr>
              <w:t xml:space="preserve">For PMI, DD unit duration of </w:t>
            </w:r>
            <w:r w:rsidRPr="00295F09">
              <w:rPr>
                <w:i/>
                <w:sz w:val="20"/>
                <w:szCs w:val="20"/>
              </w:rPr>
              <w:t>d</w:t>
            </w:r>
            <w:r w:rsidRPr="00295F09">
              <w:rPr>
                <w:sz w:val="20"/>
                <w:szCs w:val="20"/>
              </w:rPr>
              <w:t xml:space="preserve"> (in slots) is the duration associated with each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(combining coefficients before DD compression at the UE, or after DD de-compression at the gNB). </w:t>
            </w:r>
          </w:p>
          <w:p w:rsidR="008A18C8" w:rsidRPr="00295F09" w:rsidRDefault="008A18C8">
            <w:pPr>
              <w:numPr>
                <w:ilvl w:val="0"/>
                <w:numId w:val="22"/>
              </w:numPr>
              <w:snapToGrid w:val="0"/>
              <w:rPr>
                <w:sz w:val="20"/>
                <w:szCs w:val="20"/>
              </w:rPr>
            </w:pPr>
            <w:r w:rsidRPr="00295F09">
              <w:rPr>
                <w:sz w:val="20"/>
                <w:szCs w:val="20"/>
              </w:rPr>
              <w:t xml:space="preserve">TBD (by RAN1#111):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and the number of CQI(s) </w:t>
            </w:r>
            <w:r w:rsidRPr="00295F09">
              <w:rPr>
                <w:i/>
                <w:sz w:val="20"/>
                <w:szCs w:val="20"/>
              </w:rPr>
              <w:t>X</w:t>
            </w:r>
            <w:r w:rsidRPr="00295F09">
              <w:rPr>
                <w:sz w:val="20"/>
                <w:szCs w:val="20"/>
              </w:rPr>
              <w:t xml:space="preserve"> included in a CSI report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For the Type-II codebook refinement for high/medium velocities, for N</w:t>
            </w:r>
            <w:r w:rsidRPr="00295F09">
              <w:rPr>
                <w:sz w:val="20"/>
                <w:szCs w:val="20"/>
                <w:vertAlign w:val="subscript"/>
              </w:rPr>
              <w:t>4</w:t>
            </w:r>
            <w:r w:rsidRPr="00295F09">
              <w:rPr>
                <w:sz w:val="20"/>
                <w:szCs w:val="20"/>
              </w:rPr>
              <w:t>&gt;</w:t>
            </w:r>
            <w:r w:rsidRPr="00295F09">
              <w:rPr>
                <w:bCs/>
                <w:sz w:val="20"/>
                <w:szCs w:val="20"/>
              </w:rPr>
              <w:t>1</w:t>
            </w:r>
            <w:r w:rsidRPr="00295F09">
              <w:rPr>
                <w:sz w:val="20"/>
                <w:szCs w:val="20"/>
              </w:rPr>
              <w:t xml:space="preserve">, regarding the parameter </w:t>
            </w:r>
            <w:r w:rsidRPr="00295F09">
              <w:rPr>
                <w:i/>
                <w:sz w:val="20"/>
                <w:szCs w:val="20"/>
              </w:rPr>
              <w:t>Q</w:t>
            </w:r>
            <w:r w:rsidRPr="00295F09">
              <w:rPr>
                <w:sz w:val="20"/>
                <w:szCs w:val="20"/>
              </w:rPr>
              <w:t xml:space="preserve">, at least </w:t>
            </w:r>
            <w:r w:rsidRPr="00295F09">
              <w:rPr>
                <w:i/>
                <w:sz w:val="20"/>
                <w:szCs w:val="20"/>
              </w:rPr>
              <w:t>Q</w:t>
            </w:r>
            <w:r w:rsidRPr="00295F09">
              <w:rPr>
                <w:sz w:val="20"/>
                <w:szCs w:val="20"/>
              </w:rPr>
              <w:t xml:space="preserve">=2 is supported. </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Whether </w:t>
            </w:r>
            <w:r w:rsidRPr="00295F09">
              <w:rPr>
                <w:rFonts w:ascii="Times New Roman" w:hAnsi="Times New Roman"/>
                <w:i/>
                <w:szCs w:val="20"/>
              </w:rPr>
              <w:t>Q</w:t>
            </w:r>
            <w:r w:rsidRPr="00295F09">
              <w:rPr>
                <w:rFonts w:ascii="Times New Roman" w:hAnsi="Times New Roman"/>
                <w:szCs w:val="20"/>
              </w:rPr>
              <w:t xml:space="preserve">=3 and/or </w:t>
            </w:r>
            <w:r w:rsidRPr="00295F09">
              <w:rPr>
                <w:rFonts w:ascii="Times New Roman" w:hAnsi="Times New Roman"/>
                <w:i/>
                <w:szCs w:val="20"/>
              </w:rPr>
              <w:t>Q</w:t>
            </w:r>
            <w:r w:rsidRPr="00295F09">
              <w:rPr>
                <w:rFonts w:ascii="Times New Roman" w:hAnsi="Times New Roman"/>
                <w:szCs w:val="20"/>
              </w:rPr>
              <w:t xml:space="preserve">=4 are also supported as other candidate value(s), as well as the supported Parameter Combination(s)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lastRenderedPageBreak/>
              <w:t xml:space="preserve">For the Type-II codebook refinement for high/medium velocities, the parameter </w:t>
            </w:r>
            <w:r w:rsidRPr="00295F09">
              <w:rPr>
                <w:i/>
                <w:sz w:val="20"/>
                <w:szCs w:val="20"/>
              </w:rPr>
              <w:t>W</w:t>
            </w:r>
            <w:r w:rsidRPr="00295F09">
              <w:rPr>
                <w:i/>
                <w:sz w:val="20"/>
                <w:szCs w:val="20"/>
                <w:vertAlign w:val="subscript"/>
              </w:rPr>
              <w:t>CSI</w:t>
            </w:r>
            <w:r w:rsidRPr="00295F09">
              <w:rPr>
                <w:sz w:val="20"/>
                <w:szCs w:val="20"/>
              </w:rPr>
              <w:t xml:space="preserve"> (in slots) is determined as follows: </w:t>
            </w:r>
            <w:r w:rsidRPr="00295F09">
              <w:rPr>
                <w:i/>
                <w:sz w:val="20"/>
                <w:szCs w:val="20"/>
              </w:rPr>
              <w:t>W</w:t>
            </w:r>
            <w:r w:rsidRPr="00295F09">
              <w:rPr>
                <w:i/>
                <w:sz w:val="20"/>
                <w:szCs w:val="20"/>
                <w:vertAlign w:val="subscript"/>
              </w:rPr>
              <w:t xml:space="preserve">CSI </w:t>
            </w:r>
            <w:r w:rsidRPr="00295F09">
              <w:rPr>
                <w:sz w:val="20"/>
                <w:szCs w:val="20"/>
              </w:rPr>
              <w:t xml:space="preserve">= </w:t>
            </w:r>
            <w:r w:rsidRPr="00295F09">
              <w:rPr>
                <w:i/>
                <w:sz w:val="20"/>
                <w:szCs w:val="20"/>
              </w:rPr>
              <w:t>dN</w:t>
            </w:r>
            <w:r w:rsidRPr="00295F09">
              <w:rPr>
                <w:sz w:val="20"/>
                <w:szCs w:val="20"/>
                <w:vertAlign w:val="subscript"/>
              </w:rPr>
              <w:t>4</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N</w:t>
            </w:r>
            <w:r w:rsidRPr="00295F09">
              <w:rPr>
                <w:sz w:val="20"/>
                <w:szCs w:val="20"/>
                <w:vertAlign w:val="subscript"/>
              </w:rPr>
              <w:t>4</w:t>
            </w:r>
            <w:r w:rsidRPr="00295F09">
              <w:rPr>
                <w:sz w:val="20"/>
                <w:szCs w:val="20"/>
              </w:rPr>
              <w:t xml:space="preserve"> (length of DFT vector, unit-less) is gNB-configured via higher-layer (RRC) signalling </w:t>
            </w:r>
            <w:r w:rsidRPr="00295F09">
              <w:rPr>
                <w:i/>
                <w:sz w:val="20"/>
                <w:szCs w:val="20"/>
              </w:rPr>
              <w:t>at least</w:t>
            </w:r>
            <w:r w:rsidRPr="00295F09">
              <w:rPr>
                <w:sz w:val="20"/>
                <w:szCs w:val="20"/>
              </w:rPr>
              <w:t xml:space="preserve"> from the following set of candidate values: {1, 2, 4} </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If additional candidate value(s) of </w:t>
            </w:r>
            <w:r w:rsidRPr="00295F09">
              <w:rPr>
                <w:rFonts w:ascii="Times New Roman" w:hAnsi="Times New Roman"/>
                <w:i/>
                <w:szCs w:val="20"/>
              </w:rPr>
              <w:t>N</w:t>
            </w:r>
            <w:r w:rsidRPr="00295F09">
              <w:rPr>
                <w:rFonts w:ascii="Times New Roman" w:hAnsi="Times New Roman"/>
                <w:szCs w:val="20"/>
                <w:vertAlign w:val="subscript"/>
              </w:rPr>
              <w:t>4</w:t>
            </w:r>
            <w:r w:rsidRPr="00295F09">
              <w:rPr>
                <w:rFonts w:ascii="Times New Roman" w:hAnsi="Times New Roman"/>
                <w:szCs w:val="20"/>
              </w:rPr>
              <w:t xml:space="preserve"> are supported, e.g. 3, 5, 6, 8, 10, 16, 32, as well as the supported Parameter Combination(s)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K</w:t>
            </w:r>
            <w:r w:rsidRPr="00295F09">
              <w:rPr>
                <w:sz w:val="20"/>
                <w:szCs w:val="20"/>
              </w:rPr>
              <w:t xml:space="preserve"> (the number of AP-CSI-RS resources for the CMR) is gNB-configured via higher-layer (RRC) signalling </w:t>
            </w:r>
            <w:r w:rsidRPr="00295F09">
              <w:rPr>
                <w:i/>
                <w:sz w:val="20"/>
                <w:szCs w:val="20"/>
              </w:rPr>
              <w:t>at least</w:t>
            </w:r>
            <w:r w:rsidRPr="00295F09">
              <w:rPr>
                <w:sz w:val="20"/>
                <w:szCs w:val="20"/>
              </w:rPr>
              <w:t xml:space="preserve"> from the following set of candidate values: {4, 8}</w:t>
            </w:r>
          </w:p>
          <w:p w:rsidR="008A18C8" w:rsidRPr="00295F09" w:rsidRDefault="008A18C8">
            <w:pPr>
              <w:pStyle w:val="ListParagraph"/>
              <w:numPr>
                <w:ilvl w:val="0"/>
                <w:numId w:val="23"/>
              </w:numPr>
              <w:snapToGrid w:val="0"/>
              <w:ind w:leftChars="0"/>
              <w:contextualSpacing/>
              <w:rPr>
                <w:rFonts w:ascii="Times New Roman" w:hAnsi="Times New Roman"/>
                <w:szCs w:val="20"/>
              </w:rPr>
            </w:pPr>
            <w:r w:rsidRPr="00295F09">
              <w:rPr>
                <w:rFonts w:ascii="Times New Roman" w:hAnsi="Times New Roman"/>
                <w:szCs w:val="20"/>
              </w:rPr>
              <w:t xml:space="preserve">FFS: If additional candidate value(s) of </w:t>
            </w:r>
            <w:r w:rsidRPr="00295F09">
              <w:rPr>
                <w:rFonts w:ascii="Times New Roman" w:hAnsi="Times New Roman"/>
                <w:i/>
                <w:szCs w:val="20"/>
              </w:rPr>
              <w:t>K</w:t>
            </w:r>
            <w:r w:rsidRPr="00295F09">
              <w:rPr>
                <w:rFonts w:ascii="Times New Roman" w:hAnsi="Times New Roman"/>
                <w:szCs w:val="20"/>
              </w:rPr>
              <w:t xml:space="preserve"> are supported, e.g. 5, 12, 16, also taking into account other use cases (e.g. </w:t>
            </w:r>
            <w:r w:rsidRPr="00295F09">
              <w:rPr>
                <w:rFonts w:ascii="Times New Roman" w:eastAsia="Malgun Gothic" w:hAnsi="Times New Roman"/>
                <w:szCs w:val="20"/>
              </w:rPr>
              <w:t>for training filter coefficients, prediction or performance monitoring</w:t>
            </w:r>
            <w:r w:rsidRPr="00295F09">
              <w:rPr>
                <w:rFonts w:ascii="Times New Roman" w:hAnsi="Times New Roman"/>
                <w:szCs w:val="20"/>
              </w:rPr>
              <w:t>) and TDD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the parameter </w:t>
            </w:r>
            <w:r w:rsidRPr="00295F09">
              <w:rPr>
                <w:i/>
                <w:sz w:val="20"/>
                <w:szCs w:val="20"/>
              </w:rPr>
              <w:t>m</w:t>
            </w:r>
            <w:r w:rsidRPr="00295F09">
              <w:rPr>
                <w:sz w:val="20"/>
                <w:szCs w:val="20"/>
              </w:rPr>
              <w:t xml:space="preserve"> (offset between two AP-CSI-RS resources for the CMR, in slots) is gNB-configured via higher-layer (RRC) signalling from the following set of candidate values: {1, 2}</w:t>
            </w:r>
          </w:p>
          <w:p w:rsidR="008A18C8" w:rsidRPr="00295F09" w:rsidRDefault="008A18C8">
            <w:pPr>
              <w:pStyle w:val="ListParagraph"/>
              <w:numPr>
                <w:ilvl w:val="0"/>
                <w:numId w:val="24"/>
              </w:numPr>
              <w:snapToGrid w:val="0"/>
              <w:ind w:leftChars="0"/>
              <w:contextualSpacing/>
              <w:rPr>
                <w:rFonts w:ascii="Times New Roman" w:hAnsi="Times New Roman"/>
                <w:szCs w:val="20"/>
              </w:rPr>
            </w:pPr>
            <w:r w:rsidRPr="00295F09">
              <w:rPr>
                <w:rFonts w:ascii="Times New Roman" w:hAnsi="Times New Roman"/>
                <w:szCs w:val="20"/>
              </w:rPr>
              <w:t>FFS: Whether 4, 5, 8, 12, and/or 16 are also supported as other candidate value(s)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rFonts w:eastAsia="SimSun"/>
                <w:sz w:val="20"/>
                <w:szCs w:val="20"/>
              </w:rPr>
            </w:pPr>
            <w:r w:rsidRPr="00295F09">
              <w:rPr>
                <w:rFonts w:eastAsia="SimSun"/>
                <w:sz w:val="20"/>
                <w:szCs w:val="20"/>
              </w:rPr>
              <w:t>For the Type-II codebook refinement for high/medium velocities, regarding the bitmap(s) for indicating the locations of the NZCs, support the following:</w:t>
            </w:r>
          </w:p>
          <w:p w:rsidR="008A18C8" w:rsidRPr="00295F09" w:rsidRDefault="008A18C8">
            <w:pPr>
              <w:numPr>
                <w:ilvl w:val="0"/>
                <w:numId w:val="8"/>
              </w:numPr>
              <w:snapToGrid w:val="0"/>
              <w:rPr>
                <w:rFonts w:eastAsia="Malgun Gothic"/>
                <w:sz w:val="20"/>
                <w:szCs w:val="20"/>
              </w:rPr>
            </w:pPr>
            <w:r w:rsidRPr="00295F09">
              <w:rPr>
                <w:rFonts w:eastAsia="Malgun Gothic"/>
                <w:i/>
                <w:iCs/>
                <w:sz w:val="20"/>
                <w:szCs w:val="20"/>
              </w:rPr>
              <w:t xml:space="preserve">Q </w:t>
            </w:r>
            <w:r w:rsidRPr="00295F09">
              <w:rPr>
                <w:rFonts w:eastAsia="Malgun Gothic"/>
                <w:sz w:val="20"/>
                <w:szCs w:val="20"/>
              </w:rPr>
              <w:t>different 2-dimensional bitmaps are introduced for indicating the location of the NZCs, where the q</w:t>
            </w:r>
            <w:r w:rsidRPr="00295F09">
              <w:rPr>
                <w:rFonts w:eastAsia="Malgun Gothic"/>
                <w:sz w:val="20"/>
                <w:szCs w:val="20"/>
                <w:vertAlign w:val="superscript"/>
              </w:rPr>
              <w:t>th</w:t>
            </w:r>
            <w:r w:rsidRPr="00295F09">
              <w:rPr>
                <w:rFonts w:eastAsia="Malgun Gothic"/>
                <w:sz w:val="20"/>
                <w:szCs w:val="20"/>
              </w:rPr>
              <w:t xml:space="preserve"> (q=1,…., </w:t>
            </w:r>
            <w:r w:rsidRPr="00295F09">
              <w:rPr>
                <w:rFonts w:eastAsia="Malgun Gothic"/>
                <w:i/>
                <w:iCs/>
                <w:sz w:val="20"/>
                <w:szCs w:val="20"/>
              </w:rPr>
              <w:t>Q</w:t>
            </w:r>
            <w:r w:rsidRPr="00295F09">
              <w:rPr>
                <w:rFonts w:eastAsia="Malgun Gothic"/>
                <w:sz w:val="20"/>
                <w:szCs w:val="20"/>
              </w:rPr>
              <w:t>) 2-dimensional bitmap corresponds to q</w:t>
            </w:r>
            <w:r w:rsidRPr="00295F09">
              <w:rPr>
                <w:rFonts w:eastAsia="Malgun Gothic"/>
                <w:sz w:val="20"/>
                <w:szCs w:val="20"/>
                <w:vertAlign w:val="superscript"/>
              </w:rPr>
              <w:t>th</w:t>
            </w:r>
            <w:r w:rsidRPr="00295F09">
              <w:rPr>
                <w:rFonts w:eastAsia="Malgun Gothic"/>
                <w:sz w:val="20"/>
                <w:szCs w:val="20"/>
              </w:rPr>
              <w:t xml:space="preserve"> selected DD basis vector</w:t>
            </w:r>
          </w:p>
          <w:p w:rsidR="008A18C8" w:rsidRPr="00295F09" w:rsidRDefault="008A18C8">
            <w:pPr>
              <w:numPr>
                <w:ilvl w:val="1"/>
                <w:numId w:val="8"/>
              </w:numPr>
              <w:snapToGrid w:val="0"/>
              <w:rPr>
                <w:rFonts w:eastAsia="Malgun Gothic"/>
                <w:sz w:val="20"/>
                <w:szCs w:val="20"/>
              </w:rPr>
            </w:pPr>
            <w:r w:rsidRPr="00295F09">
              <w:rPr>
                <w:rFonts w:eastAsia="Malgun Gothic"/>
                <w:sz w:val="20"/>
                <w:szCs w:val="20"/>
              </w:rPr>
              <w:t xml:space="preserve">The number of selected DD basis vectors is denoted as </w:t>
            </w:r>
            <w:r w:rsidRPr="00295F09">
              <w:rPr>
                <w:rFonts w:eastAsia="Malgun Gothic"/>
                <w:i/>
                <w:iCs/>
                <w:sz w:val="20"/>
                <w:szCs w:val="20"/>
              </w:rPr>
              <w:t>Q</w:t>
            </w:r>
          </w:p>
          <w:p w:rsidR="008A18C8" w:rsidRPr="00295F09" w:rsidRDefault="008A18C8">
            <w:pPr>
              <w:numPr>
                <w:ilvl w:val="1"/>
                <w:numId w:val="8"/>
              </w:numPr>
              <w:snapToGrid w:val="0"/>
              <w:rPr>
                <w:rFonts w:eastAsia="Malgun Gothic"/>
                <w:sz w:val="20"/>
                <w:szCs w:val="20"/>
              </w:rPr>
            </w:pPr>
            <w:r w:rsidRPr="00295F09">
              <w:rPr>
                <w:rFonts w:eastAsia="Malgun Gothic"/>
                <w:sz w:val="20"/>
                <w:szCs w:val="20"/>
              </w:rPr>
              <w:t>This implies that for each layer, the location of NZCs in SD-FD can be different for different selected DD basis vectors.</w:t>
            </w:r>
          </w:p>
          <w:p w:rsidR="008A18C8" w:rsidRPr="00295F09" w:rsidRDefault="008A18C8" w:rsidP="008A18C8">
            <w:pPr>
              <w:snapToGrid w:val="0"/>
              <w:rPr>
                <w:rFonts w:eastAsia="SimSun"/>
                <w:sz w:val="20"/>
                <w:szCs w:val="20"/>
              </w:rPr>
            </w:pPr>
            <w:r w:rsidRPr="00295F09">
              <w:rPr>
                <w:rFonts w:eastAsia="SimSun"/>
                <w:sz w:val="20"/>
                <w:szCs w:val="20"/>
              </w:rPr>
              <w:t>FFS: Further overhead reduction on bitmap(s)</w:t>
            </w:r>
          </w:p>
          <w:p w:rsidR="008A18C8" w:rsidRPr="00295F09" w:rsidRDefault="008A18C8" w:rsidP="008A18C8">
            <w:pPr>
              <w:snapToGrid w:val="0"/>
              <w:rPr>
                <w:rFonts w:eastAsia="SimSun"/>
                <w:sz w:val="20"/>
                <w:szCs w:val="20"/>
              </w:rPr>
            </w:pPr>
            <w:r w:rsidRPr="00295F09">
              <w:rPr>
                <w:rFonts w:eastAsia="SimSun"/>
                <w:sz w:val="20"/>
                <w:szCs w:val="20"/>
              </w:rPr>
              <w:t>FFS: Whether the number of NZCs is upper bounded across all DD basis vectors or per DD basis vector</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rFonts w:eastAsia="SimSun"/>
                <w:sz w:val="20"/>
                <w:szCs w:val="20"/>
              </w:rPr>
            </w:pPr>
            <w:r w:rsidRPr="00295F09">
              <w:rPr>
                <w:rFonts w:eastAsia="SimSun"/>
                <w:sz w:val="20"/>
                <w:szCs w:val="20"/>
              </w:rPr>
              <w:t xml:space="preserve">For the Rel-18 Type-II codebook refinement for high/medium velocities, </w:t>
            </w:r>
          </w:p>
          <w:p w:rsidR="008A18C8" w:rsidRPr="00295F09" w:rsidRDefault="008A18C8">
            <w:pPr>
              <w:pStyle w:val="ListParagraph"/>
              <w:numPr>
                <w:ilvl w:val="0"/>
                <w:numId w:val="25"/>
              </w:numPr>
              <w:suppressAutoHyphens/>
              <w:snapToGrid w:val="0"/>
              <w:ind w:leftChars="0"/>
              <w:rPr>
                <w:rFonts w:ascii="Times New Roman" w:hAnsi="Times New Roman"/>
                <w:szCs w:val="20"/>
              </w:rPr>
            </w:pPr>
            <w:r w:rsidRPr="00295F09">
              <w:rPr>
                <w:rFonts w:ascii="Times New Roman" w:hAnsi="Times New Roman"/>
                <w:szCs w:val="20"/>
              </w:rPr>
              <w:t xml:space="preserve">The definition and supported values for each of the SD/FD codebook parameters follow the legacy specification. </w:t>
            </w:r>
          </w:p>
          <w:p w:rsidR="008A18C8" w:rsidRPr="00295F09" w:rsidRDefault="008A18C8">
            <w:pPr>
              <w:pStyle w:val="ListParagraph"/>
              <w:numPr>
                <w:ilvl w:val="1"/>
                <w:numId w:val="25"/>
              </w:numPr>
              <w:suppressAutoHyphens/>
              <w:snapToGrid w:val="0"/>
              <w:ind w:leftChars="0"/>
              <w:rPr>
                <w:rFonts w:ascii="Times New Roman" w:hAnsi="Times New Roman"/>
                <w:szCs w:val="20"/>
              </w:rPr>
            </w:pPr>
            <w:r w:rsidRPr="00295F09">
              <w:rPr>
                <w:rFonts w:ascii="Times New Roman" w:hAnsi="Times New Roman"/>
                <w:szCs w:val="20"/>
              </w:rPr>
              <w:t>FFS: The supported parameter combinations considering SD, FD, and DD codebook parameters</w:t>
            </w:r>
          </w:p>
          <w:p w:rsidR="008A18C8" w:rsidRPr="00295F09" w:rsidRDefault="008A18C8">
            <w:pPr>
              <w:pStyle w:val="ListParagraph"/>
              <w:numPr>
                <w:ilvl w:val="0"/>
                <w:numId w:val="25"/>
              </w:numPr>
              <w:suppressAutoHyphens/>
              <w:snapToGrid w:val="0"/>
              <w:ind w:leftChars="0"/>
              <w:rPr>
                <w:rFonts w:ascii="Times New Roman" w:hAnsi="Times New Roman"/>
                <w:szCs w:val="20"/>
              </w:rPr>
            </w:pPr>
            <w:r w:rsidRPr="00295F09">
              <w:rPr>
                <w:rFonts w:ascii="Times New Roman" w:hAnsi="Times New Roman"/>
                <w:szCs w:val="20"/>
              </w:rPr>
              <w:t xml:space="preserve">For </w:t>
            </w:r>
            <w:r w:rsidRPr="00295F09">
              <w:rPr>
                <w:rFonts w:ascii="Times New Roman" w:eastAsia="Malgun Gothic" w:hAnsi="Times New Roman"/>
                <w:szCs w:val="20"/>
              </w:rPr>
              <w:t>N</w:t>
            </w:r>
            <w:r w:rsidRPr="00295F09">
              <w:rPr>
                <w:rFonts w:ascii="Times New Roman" w:eastAsia="Malgun Gothic" w:hAnsi="Times New Roman"/>
                <w:szCs w:val="20"/>
                <w:vertAlign w:val="subscript"/>
              </w:rPr>
              <w:t>4</w:t>
            </w:r>
            <w:r w:rsidRPr="00295F09">
              <w:rPr>
                <w:rFonts w:ascii="Times New Roman" w:eastAsia="Malgun Gothic" w:hAnsi="Times New Roman"/>
                <w:szCs w:val="20"/>
              </w:rPr>
              <w:t>=1</w:t>
            </w:r>
            <w:r w:rsidRPr="00295F09">
              <w:rPr>
                <w:rFonts w:ascii="Times New Roman" w:hAnsi="Times New Roman"/>
                <w:szCs w:val="20"/>
              </w:rPr>
              <w:t>, the legacy quantization is fully reused.</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rFonts w:eastAsia="SimSun"/>
                <w:sz w:val="20"/>
                <w:szCs w:val="20"/>
              </w:rPr>
              <w:t xml:space="preserve">For the Rel-18 Type-II codebook refinement for high/medium velocities, for </w:t>
            </w:r>
            <w:r w:rsidRPr="00295F09">
              <w:rPr>
                <w:rFonts w:eastAsia="Malgun Gothic"/>
                <w:sz w:val="20"/>
                <w:szCs w:val="20"/>
              </w:rPr>
              <w:t>N</w:t>
            </w:r>
            <w:r w:rsidRPr="00295F09">
              <w:rPr>
                <w:rFonts w:eastAsia="Malgun Gothic"/>
                <w:sz w:val="20"/>
                <w:szCs w:val="20"/>
                <w:vertAlign w:val="subscript"/>
              </w:rPr>
              <w:t>4</w:t>
            </w:r>
            <w:r w:rsidRPr="00295F09">
              <w:rPr>
                <w:rFonts w:eastAsia="Malgun Gothic"/>
                <w:sz w:val="20"/>
                <w:szCs w:val="20"/>
              </w:rPr>
              <w:t>=1</w:t>
            </w:r>
            <w:r w:rsidRPr="00295F09">
              <w:rPr>
                <w:rFonts w:eastAsia="SimSun"/>
                <w:sz w:val="20"/>
                <w:szCs w:val="20"/>
              </w:rPr>
              <w:t xml:space="preserve">, one CSI reporting instance includes a single </w:t>
            </w:r>
            <w:r w:rsidRPr="00295F09">
              <w:rPr>
                <w:rFonts w:eastAsia="SimSun"/>
                <w:sz w:val="20"/>
                <w:szCs w:val="20"/>
              </w:rPr>
              <w:fldChar w:fldCharType="begin"/>
            </w:r>
            <w:r w:rsidRPr="00295F09">
              <w:rPr>
                <w:rFonts w:eastAsia="SimSun"/>
                <w:sz w:val="20"/>
                <w:szCs w:val="20"/>
              </w:rPr>
              <w:instrText xml:space="preserve"> QUOTE </w:instrText>
            </w:r>
            <w:r w:rsidR="003F2720">
              <w:rPr>
                <w:noProof/>
                <w:position w:val="-4"/>
                <w:sz w:val="20"/>
                <w:szCs w:val="20"/>
              </w:rPr>
              <w:pict>
                <v:shape id="_x0000_i1046" type="#_x0000_t75" alt="" style="width:13.1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3CA1&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753CA1&quot; wsp:rsidP=&quot;00753CA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acc&gt;&lt;m:accPr&gt;&lt;m:chr m:val=&quot;ÃÉ&quot;/&gt;&lt;m:ctrlPr&gt;&lt;w:rPr&gt;&lt;w:rFonts w:ascii=&quot;Cambria Math&quot; w:fareast=&quot;SimSun&quot; w:h-ansi=&quot;Cambria Math&quot; w:cs=&quot;Calibri&quot;/&gt;&lt;wx:font wx:val=&quot;Cambria Math&quot;/&gt;&lt;w:i/&gt;&lt;w:i-cs/&gt;&lt;w:sz w:val=&quot;18&quot;/&gt;&lt;w:sz-cs w:val=&quot;18&quot;/&gt;&lt;/w:rPr&gt;&lt;/m:ctrlPr&gt;&lt;/m:acc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acc&gt;&lt;/m:e&gt;&lt;m:sub&gt;&lt;m:r&gt;&lt;w:rPr&gt;&lt;w:rFonts w:ascii=&quot;Cambria Math&quot; w:fareast=&quot;Malgun Gothic&quot; w:h-ansi=&quot;Cambria Math&quot; w:cs=&quot;Calibri&quot;/&gt;&lt;wx:font wx:val=&quot;Cambria Math&quot;/&gt;&lt;w:i/&gt;&lt;w:sz w:val=&quot;18&quot;/&gt;&lt;w:sz-cs w:val=&quot;18&quot;/&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95F09">
              <w:rPr>
                <w:rFonts w:eastAsia="SimSun"/>
                <w:sz w:val="20"/>
                <w:szCs w:val="20"/>
              </w:rPr>
              <w:instrText xml:space="preserve"> </w:instrText>
            </w:r>
            <w:r w:rsidRPr="00295F09">
              <w:rPr>
                <w:rFonts w:eastAsia="SimSun"/>
                <w:sz w:val="20"/>
                <w:szCs w:val="20"/>
              </w:rPr>
              <w:fldChar w:fldCharType="separate"/>
            </w:r>
            <w:r w:rsidR="003F2720">
              <w:rPr>
                <w:noProof/>
                <w:position w:val="-4"/>
                <w:sz w:val="20"/>
                <w:szCs w:val="20"/>
              </w:rPr>
              <w:pict>
                <v:shape id="_x0000_i1045" type="#_x0000_t75" alt="" style="width:13.1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3CA1&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753CA1&quot; wsp:rsidP=&quot;00753CA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acc&gt;&lt;m:accPr&gt;&lt;m:chr m:val=&quot;ÃÉ&quot;/&gt;&lt;m:ctrlPr&gt;&lt;w:rPr&gt;&lt;w:rFonts w:ascii=&quot;Cambria Math&quot; w:fareast=&quot;SimSun&quot; w:h-ansi=&quot;Cambria Math&quot; w:cs=&quot;Calibri&quot;/&gt;&lt;wx:font wx:val=&quot;Cambria Math&quot;/&gt;&lt;w:i/&gt;&lt;w:i-cs/&gt;&lt;w:sz w:val=&quot;18&quot;/&gt;&lt;w:sz-cs w:val=&quot;18&quot;/&gt;&lt;/w:rPr&gt;&lt;/m:ctrlPr&gt;&lt;/m:acc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acc&gt;&lt;/m:e&gt;&lt;m:sub&gt;&lt;m:r&gt;&lt;w:rPr&gt;&lt;w:rFonts w:ascii=&quot;Cambria Math&quot; w:fareast=&quot;Malgun Gothic&quot; w:h-ansi=&quot;Cambria Math&quot; w:cs=&quot;Calibri&quot;/&gt;&lt;wx:font wx:val=&quot;Cambria Math&quot;/&gt;&lt;w:i/&gt;&lt;w:sz w:val=&quot;18&quot;/&gt;&lt;w:sz-cs w:val=&quot;18&quot;/&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95F09">
              <w:rPr>
                <w:rFonts w:eastAsia="SimSun"/>
                <w:sz w:val="20"/>
                <w:szCs w:val="20"/>
              </w:rPr>
              <w:fldChar w:fldCharType="end"/>
            </w:r>
            <w:r w:rsidRPr="00295F09">
              <w:rPr>
                <w:rFonts w:eastAsia="SimSun"/>
                <w:sz w:val="20"/>
                <w:szCs w:val="20"/>
              </w:rPr>
              <w:t xml:space="preserve"> per layer, a single </w:t>
            </w:r>
            <w:r w:rsidRPr="00295F09">
              <w:rPr>
                <w:rFonts w:eastAsia="SimSun"/>
                <w:sz w:val="20"/>
                <w:szCs w:val="20"/>
              </w:rPr>
              <w:fldChar w:fldCharType="begin"/>
            </w:r>
            <w:r w:rsidRPr="00295F09">
              <w:rPr>
                <w:rFonts w:eastAsia="SimSun"/>
                <w:sz w:val="20"/>
                <w:szCs w:val="20"/>
              </w:rPr>
              <w:instrText xml:space="preserve"> QUOTE </w:instrText>
            </w:r>
            <w:r w:rsidR="003F2720">
              <w:rPr>
                <w:noProof/>
                <w:position w:val="-4"/>
                <w:sz w:val="20"/>
                <w:szCs w:val="20"/>
              </w:rPr>
              <w:pict>
                <v:shape id="_x0000_i1044"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B76C1&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9B76C1&quot; wsp:rsidP=&quot;009B76C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95F09">
              <w:rPr>
                <w:rFonts w:eastAsia="SimSun"/>
                <w:sz w:val="20"/>
                <w:szCs w:val="20"/>
              </w:rPr>
              <w:instrText xml:space="preserve"> </w:instrText>
            </w:r>
            <w:r w:rsidRPr="00295F09">
              <w:rPr>
                <w:rFonts w:eastAsia="SimSun"/>
                <w:sz w:val="20"/>
                <w:szCs w:val="20"/>
              </w:rPr>
              <w:fldChar w:fldCharType="separate"/>
            </w:r>
            <w:r w:rsidR="003F2720">
              <w:rPr>
                <w:noProof/>
                <w:position w:val="-4"/>
                <w:sz w:val="20"/>
                <w:szCs w:val="20"/>
              </w:rPr>
              <w:pict>
                <v:shape id="_x0000_i1043"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B76C1&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9B76C1&quot; wsp:rsidP=&quot;009B76C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95F09">
              <w:rPr>
                <w:rFonts w:eastAsia="SimSun"/>
                <w:sz w:val="20"/>
                <w:szCs w:val="20"/>
              </w:rPr>
              <w:fldChar w:fldCharType="end"/>
            </w:r>
            <w:r w:rsidRPr="00295F09">
              <w:rPr>
                <w:rFonts w:eastAsia="SimSun"/>
                <w:sz w:val="20"/>
                <w:szCs w:val="20"/>
              </w:rPr>
              <w:t xml:space="preserve">, and a single </w:t>
            </w:r>
            <w:r w:rsidRPr="00295F09">
              <w:rPr>
                <w:sz w:val="20"/>
                <w:szCs w:val="20"/>
              </w:rPr>
              <w:fldChar w:fldCharType="begin"/>
            </w:r>
            <w:r w:rsidRPr="00295F09">
              <w:rPr>
                <w:sz w:val="20"/>
                <w:szCs w:val="20"/>
              </w:rPr>
              <w:instrText xml:space="preserve"> QUOTE </w:instrText>
            </w:r>
            <w:r w:rsidR="003F2720">
              <w:rPr>
                <w:noProof/>
                <w:position w:val="-6"/>
                <w:sz w:val="20"/>
                <w:szCs w:val="20"/>
              </w:rPr>
              <w:pict>
                <v:shape id="_x0000_i1042"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46AE1&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D46AE1&quot; wsp:rsidP=&quot;00D46AE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sz w:val="20"/>
                <w:szCs w:val="20"/>
              </w:rPr>
              <w:instrText xml:space="preserve"> </w:instrText>
            </w:r>
            <w:r w:rsidRPr="00295F09">
              <w:rPr>
                <w:sz w:val="20"/>
                <w:szCs w:val="20"/>
              </w:rPr>
              <w:fldChar w:fldCharType="separate"/>
            </w:r>
            <w:r w:rsidR="003F2720">
              <w:rPr>
                <w:noProof/>
                <w:position w:val="-6"/>
                <w:sz w:val="20"/>
                <w:szCs w:val="20"/>
              </w:rPr>
              <w:pict>
                <v:shape id="_x0000_i1041" type="#_x0000_t75" alt="" style="width:12.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459F&quot;/&gt;&lt;wsp:rsid wsp:val=&quot;000154E8&quot;/&gt;&lt;wsp:rsid wsp:val=&quot;00017452&quot;/&gt;&lt;wsp:rsid wsp:val=&quot;00017C2A&quot;/&gt;&lt;wsp:rsid wsp:val=&quot;000206F5&quot;/&gt;&lt;wsp:rsid wsp:val=&quot;00021963&quot;/&gt;&lt;wsp:rsid wsp:val=&quot;00021A46&quot;/&gt;&lt;wsp:rsid wsp:val=&quot;00027418&quot;/&gt;&lt;wsp:rsid wsp:val=&quot;00030E16&quot;/&gt;&lt;wsp:rsid wsp:val=&quot;00035C3D&quot;/&gt;&lt;wsp:rsid wsp:val=&quot;0004171B&quot;/&gt;&lt;wsp:rsid wsp:val=&quot;00052672&quot;/&gt;&lt;wsp:rsid wsp:val=&quot;00053611&quot;/&gt;&lt;wsp:rsid wsp:val=&quot;00054572&quot;/&gt;&lt;wsp:rsid wsp:val=&quot;00054DD5&quot;/&gt;&lt;wsp:rsid wsp:val=&quot;00060542&quot;/&gt;&lt;wsp:rsid wsp:val=&quot;000605DA&quot;/&gt;&lt;wsp:rsid wsp:val=&quot;00070E52&quot;/&gt;&lt;wsp:rsid wsp:val=&quot;00073953&quot;/&gt;&lt;wsp:rsid wsp:val=&quot;00073C45&quot;/&gt;&lt;wsp:rsid wsp:val=&quot;00074A3E&quot;/&gt;&lt;wsp:rsid wsp:val=&quot;00076C50&quot;/&gt;&lt;wsp:rsid wsp:val=&quot;000809D1&quot;/&gt;&lt;wsp:rsid wsp:val=&quot;00083AB6&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748B&quot;/&gt;&lt;wsp:rsid wsp:val=&quot;000C74E2&quot;/&gt;&lt;wsp:rsid wsp:val=&quot;000C7A0C&quot;/&gt;&lt;wsp:rsid wsp:val=&quot;000D242E&quot;/&gt;&lt;wsp:rsid wsp:val=&quot;000D38C6&quot;/&gt;&lt;wsp:rsid wsp:val=&quot;000D7D77&quot;/&gt;&lt;wsp:rsid wsp:val=&quot;000E4369&quot;/&gt;&lt;wsp:rsid wsp:val=&quot;000E474A&quot;/&gt;&lt;wsp:rsid wsp:val=&quot;000E5BCB&quot;/&gt;&lt;wsp:rsid wsp:val=&quot;000E67A5&quot;/&gt;&lt;wsp:rsid wsp:val=&quot;000F59FD&quot;/&gt;&lt;wsp:rsid wsp:val=&quot;0010230E&quot;/&gt;&lt;wsp:rsid wsp:val=&quot;00103337&quot;/&gt;&lt;wsp:rsid wsp:val=&quot;001111D3&quot;/&gt;&lt;wsp:rsid wsp:val=&quot;00111908&quot;/&gt;&lt;wsp:rsid wsp:val=&quot;00131CB0&quot;/&gt;&lt;wsp:rsid wsp:val=&quot;00132CBE&quot;/&gt;&lt;wsp:rsid wsp:val=&quot;001435E4&quot;/&gt;&lt;wsp:rsid wsp:val=&quot;0014584C&quot;/&gt;&lt;wsp:rsid wsp:val=&quot;00156174&quot;/&gt;&lt;wsp:rsid wsp:val=&quot;0016549C&quot;/&gt;&lt;wsp:rsid wsp:val=&quot;00166BB5&quot;/&gt;&lt;wsp:rsid wsp:val=&quot;00166FB4&quot;/&gt;&lt;wsp:rsid wsp:val=&quot;001671FB&quot;/&gt;&lt;wsp:rsid wsp:val=&quot;0017210B&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35F9&quot;/&gt;&lt;wsp:rsid wsp:val=&quot;001A68A2&quot;/&gt;&lt;wsp:rsid wsp:val=&quot;001B141B&quot;/&gt;&lt;wsp:rsid wsp:val=&quot;001C3B8C&quot;/&gt;&lt;wsp:rsid wsp:val=&quot;001C40D9&quot;/&gt;&lt;wsp:rsid wsp:val=&quot;001C5621&quot;/&gt;&lt;wsp:rsid wsp:val=&quot;001C74BE&quot;/&gt;&lt;wsp:rsid wsp:val=&quot;001D150F&quot;/&gt;&lt;wsp:rsid wsp:val=&quot;001D2AE5&quot;/&gt;&lt;wsp:rsid wsp:val=&quot;001D4A33&quot;/&gt;&lt;wsp:rsid wsp:val=&quot;001D52A5&quot;/&gt;&lt;wsp:rsid wsp:val=&quot;001D7AE8&quot;/&gt;&lt;wsp:rsid wsp:val=&quot;001E630D&quot;/&gt;&lt;wsp:rsid wsp:val=&quot;001F0301&quot;/&gt;&lt;wsp:rsid wsp:val=&quot;001F0B04&quot;/&gt;&lt;wsp:rsid wsp:val=&quot;001F2C8F&quot;/&gt;&lt;wsp:rsid wsp:val=&quot;001F6102&quot;/&gt;&lt;wsp:rsid wsp:val=&quot;00202C71&quot;/&gt;&lt;wsp:rsid wsp:val=&quot;00205A7D&quot;/&gt;&lt;wsp:rsid wsp:val=&quot;00207C8A&quot;/&gt;&lt;wsp:rsid wsp:val=&quot;00211448&quot;/&gt;&lt;wsp:rsid wsp:val=&quot;002148DC&quot;/&gt;&lt;wsp:rsid wsp:val=&quot;00214D7E&quot;/&gt;&lt;wsp:rsid wsp:val=&quot;00214F2A&quot;/&gt;&lt;wsp:rsid wsp:val=&quot;002216DD&quot;/&gt;&lt;wsp:rsid wsp:val=&quot;00221E20&quot;/&gt;&lt;wsp:rsid wsp:val=&quot;00222232&quot;/&gt;&lt;wsp:rsid wsp:val=&quot;00227F9C&quot;/&gt;&lt;wsp:rsid wsp:val=&quot;002318A4&quot;/&gt;&lt;wsp:rsid wsp:val=&quot;00237671&quot;/&gt;&lt;wsp:rsid wsp:val=&quot;002403C8&quot;/&gt;&lt;wsp:rsid wsp:val=&quot;002418CB&quot;/&gt;&lt;wsp:rsid wsp:val=&quot;00246843&quot;/&gt;&lt;wsp:rsid wsp:val=&quot;0025466B&quot;/&gt;&lt;wsp:rsid wsp:val=&quot;00255925&quot;/&gt;&lt;wsp:rsid wsp:val=&quot;00256228&quot;/&gt;&lt;wsp:rsid wsp:val=&quot;0025787C&quot;/&gt;&lt;wsp:rsid wsp:val=&quot;00265760&quot;/&gt;&lt;wsp:rsid wsp:val=&quot;00271CD9&quot;/&gt;&lt;wsp:rsid wsp:val=&quot;00277FBD&quot;/&gt;&lt;wsp:rsid wsp:val=&quot;00282066&quot;/&gt;&lt;wsp:rsid wsp:val=&quot;00282E2C&quot;/&gt;&lt;wsp:rsid wsp:val=&quot;002870FB&quot;/&gt;&lt;wsp:rsid wsp:val=&quot;00290918&quot;/&gt;&lt;wsp:rsid wsp:val=&quot;00293C36&quot;/&gt;&lt;wsp:rsid wsp:val=&quot;00293DB3&quot;/&gt;&lt;wsp:rsid wsp:val=&quot;0029433B&quot;/&gt;&lt;wsp:rsid wsp:val=&quot;0029757E&quot;/&gt;&lt;wsp:rsid wsp:val=&quot;002975B2&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E1DF6&quot;/&gt;&lt;wsp:rsid wsp:val=&quot;002F40CD&quot;/&gt;&lt;wsp:rsid wsp:val=&quot;002F4411&quot;/&gt;&lt;wsp:rsid wsp:val=&quot;002F4938&quot;/&gt;&lt;wsp:rsid wsp:val=&quot;002F7271&quot;/&gt;&lt;wsp:rsid wsp:val=&quot;00316115&quot;/&gt;&lt;wsp:rsid wsp:val=&quot;003161EF&quot;/&gt;&lt;wsp:rsid wsp:val=&quot;003218BF&quot;/&gt;&lt;wsp:rsid wsp:val=&quot;0032301D&quot;/&gt;&lt;wsp:rsid wsp:val=&quot;003230FF&quot;/&gt;&lt;wsp:rsid wsp:val=&quot;003234F6&quot;/&gt;&lt;wsp:rsid wsp:val=&quot;003269DE&quot;/&gt;&lt;wsp:rsid wsp:val=&quot;0033037F&quot;/&gt;&lt;wsp:rsid wsp:val=&quot;00334D5B&quot;/&gt;&lt;wsp:rsid wsp:val=&quot;00336948&quot;/&gt;&lt;wsp:rsid wsp:val=&quot;00343017&quot;/&gt;&lt;wsp:rsid wsp:val=&quot;00343A55&quot;/&gt;&lt;wsp:rsid wsp:val=&quot;00345EEA&quot;/&gt;&lt;wsp:rsid wsp:val=&quot;003521DB&quot;/&gt;&lt;wsp:rsid wsp:val=&quot;003544C1&quot;/&gt;&lt;wsp:rsid wsp:val=&quot;0036084B&quot;/&gt;&lt;wsp:rsid wsp:val=&quot;00363209&quot;/&gt;&lt;wsp:rsid wsp:val=&quot;00364947&quot;/&gt;&lt;wsp:rsid wsp:val=&quot;003653F4&quot;/&gt;&lt;wsp:rsid wsp:val=&quot;00365442&quot;/&gt;&lt;wsp:rsid wsp:val=&quot;003713F7&quot;/&gt;&lt;wsp:rsid wsp:val=&quot;0037212B&quot;/&gt;&lt;wsp:rsid wsp:val=&quot;00373044&quot;/&gt;&lt;wsp:rsid wsp:val=&quot;00382901&quot;/&gt;&lt;wsp:rsid wsp:val=&quot;00385726&quot;/&gt;&lt;wsp:rsid wsp:val=&quot;00387D1C&quot;/&gt;&lt;wsp:rsid wsp:val=&quot;00392A3A&quot;/&gt;&lt;wsp:rsid wsp:val=&quot;003A135F&quot;/&gt;&lt;wsp:rsid wsp:val=&quot;003A4607&quot;/&gt;&lt;wsp:rsid wsp:val=&quot;003B0BF8&quot;/&gt;&lt;wsp:rsid wsp:val=&quot;003B3DC0&quot;/&gt;&lt;wsp:rsid wsp:val=&quot;003B5963&quot;/&gt;&lt;wsp:rsid wsp:val=&quot;003B6548&quot;/&gt;&lt;wsp:rsid wsp:val=&quot;003D33A8&quot;/&gt;&lt;wsp:rsid wsp:val=&quot;003E0305&quot;/&gt;&lt;wsp:rsid wsp:val=&quot;003E6586&quot;/&gt;&lt;wsp:rsid wsp:val=&quot;003E7642&quot;/&gt;&lt;wsp:rsid wsp:val=&quot;003F4797&quot;/&gt;&lt;wsp:rsid wsp:val=&quot;003F47B5&quot;/&gt;&lt;wsp:rsid wsp:val=&quot;004109C3&quot;/&gt;&lt;wsp:rsid wsp:val=&quot;004118D5&quot;/&gt;&lt;wsp:rsid wsp:val=&quot;00413B4E&quot;/&gt;&lt;wsp:rsid wsp:val=&quot;00414181&quot;/&gt;&lt;wsp:rsid wsp:val=&quot;004206FA&quot;/&gt;&lt;wsp:rsid wsp:val=&quot;00431123&quot;/&gt;&lt;wsp:rsid wsp:val=&quot;00431E83&quot;/&gt;&lt;wsp:rsid wsp:val=&quot;00432F62&quot;/&gt;&lt;wsp:rsid wsp:val=&quot;00437B5E&quot;/&gt;&lt;wsp:rsid wsp:val=&quot;00455581&quot;/&gt;&lt;wsp:rsid wsp:val=&quot;004604FD&quot;/&gt;&lt;wsp:rsid wsp:val=&quot;00460DBF&quot;/&gt;&lt;wsp:rsid wsp:val=&quot;00462878&quot;/&gt;&lt;wsp:rsid wsp:val=&quot;00462B81&quot;/&gt;&lt;wsp:rsid wsp:val=&quot;00462BD0&quot;/&gt;&lt;wsp:rsid wsp:val=&quot;0047318D&quot;/&gt;&lt;wsp:rsid wsp:val=&quot;0048579F&quot;/&gt;&lt;wsp:rsid wsp:val=&quot;0049013E&quot;/&gt;&lt;wsp:rsid wsp:val=&quot;004902E0&quot;/&gt;&lt;wsp:rsid wsp:val=&quot;00490947&quot;/&gt;&lt;wsp:rsid wsp:val=&quot;004910AC&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C1070&quot;/&gt;&lt;wsp:rsid wsp:val=&quot;004C20CB&quot;/&gt;&lt;wsp:rsid wsp:val=&quot;004C2920&quot;/&gt;&lt;wsp:rsid wsp:val=&quot;004C3E45&quot;/&gt;&lt;wsp:rsid wsp:val=&quot;004C5181&quot;/&gt;&lt;wsp:rsid wsp:val=&quot;004C6C1E&quot;/&gt;&lt;wsp:rsid wsp:val=&quot;004C7A79&quot;/&gt;&lt;wsp:rsid wsp:val=&quot;004D31D3&quot;/&gt;&lt;wsp:rsid wsp:val=&quot;004E14BC&quot;/&gt;&lt;wsp:rsid wsp:val=&quot;004E1DF7&quot;/&gt;&lt;wsp:rsid wsp:val=&quot;004E1E2B&quot;/&gt;&lt;wsp:rsid wsp:val=&quot;004E40C3&quot;/&gt;&lt;wsp:rsid wsp:val=&quot;004E4D94&quot;/&gt;&lt;wsp:rsid wsp:val=&quot;004E55C0&quot;/&gt;&lt;wsp:rsid wsp:val=&quot;004F7BC8&quot;/&gt;&lt;wsp:rsid wsp:val=&quot;005104F5&quot;/&gt;&lt;wsp:rsid wsp:val=&quot;005121D4&quot;/&gt;&lt;wsp:rsid wsp:val=&quot;00514701&quot;/&gt;&lt;wsp:rsid wsp:val=&quot;00521FA7&quot;/&gt;&lt;wsp:rsid wsp:val=&quot;00524E96&quot;/&gt;&lt;wsp:rsid wsp:val=&quot;00532D8C&quot;/&gt;&lt;wsp:rsid wsp:val=&quot;00545925&quot;/&gt;&lt;wsp:rsid wsp:val=&quot;00546BEF&quot;/&gt;&lt;wsp:rsid wsp:val=&quot;00547AEB&quot;/&gt;&lt;wsp:rsid wsp:val=&quot;005519E2&quot;/&gt;&lt;wsp:rsid wsp:val=&quot;00551A39&quot;/&gt;&lt;wsp:rsid wsp:val=&quot;00553E3A&quot;/&gt;&lt;wsp:rsid wsp:val=&quot;00554E95&quot;/&gt;&lt;wsp:rsid wsp:val=&quot;00556A4D&quot;/&gt;&lt;wsp:rsid wsp:val=&quot;00562D7B&quot;/&gt;&lt;wsp:rsid wsp:val=&quot;005634E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36B6&quot;/&gt;&lt;wsp:rsid wsp:val=&quot;0059417F&quot;/&gt;&lt;wsp:rsid wsp:val=&quot;00595848&quot;/&gt;&lt;wsp:rsid wsp:val=&quot;00595D38&quot;/&gt;&lt;wsp:rsid wsp:val=&quot;005A4C61&quot;/&gt;&lt;wsp:rsid wsp:val=&quot;005B25BC&quot;/&gt;&lt;wsp:rsid wsp:val=&quot;005B374C&quot;/&gt;&lt;wsp:rsid wsp:val=&quot;005C0091&quot;/&gt;&lt;wsp:rsid wsp:val=&quot;005C3943&quot;/&gt;&lt;wsp:rsid wsp:val=&quot;005D08B4&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301B&quot;/&gt;&lt;wsp:rsid wsp:val=&quot;00603782&quot;/&gt;&lt;wsp:rsid wsp:val=&quot;00604D89&quot;/&gt;&lt;wsp:rsid wsp:val=&quot;00613ABD&quot;/&gt;&lt;wsp:rsid wsp:val=&quot;0061650F&quot;/&gt;&lt;wsp:rsid wsp:val=&quot;00623D44&quot;/&gt;&lt;wsp:rsid wsp:val=&quot;00625E37&quot;/&gt;&lt;wsp:rsid wsp:val=&quot;006322FD&quot;/&gt;&lt;wsp:rsid wsp:val=&quot;00640051&quot;/&gt;&lt;wsp:rsid wsp:val=&quot;00642348&quot;/&gt;&lt;wsp:rsid wsp:val=&quot;00645CFD&quot;/&gt;&lt;wsp:rsid wsp:val=&quot;00645E6A&quot;/&gt;&lt;wsp:rsid wsp:val=&quot;0065303B&quot;/&gt;&lt;wsp:rsid wsp:val=&quot;006656BB&quot;/&gt;&lt;wsp:rsid wsp:val=&quot;00666238&quot;/&gt;&lt;wsp:rsid wsp:val=&quot;00673FC7&quot;/&gt;&lt;wsp:rsid wsp:val=&quot;00683F5D&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2E8C&quot;/&gt;&lt;wsp:rsid wsp:val=&quot;00763C91&quot;/&gt;&lt;wsp:rsid wsp:val=&quot;00774F27&quot;/&gt;&lt;wsp:rsid wsp:val=&quot;007771B0&quot;/&gt;&lt;wsp:rsid wsp:val=&quot;00777298&quot;/&gt;&lt;wsp:rsid wsp:val=&quot;0078005E&quot;/&gt;&lt;wsp:rsid wsp:val=&quot;007831B0&quot;/&gt;&lt;wsp:rsid wsp:val=&quot;00783D97&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5A3&quot;/&gt;&lt;wsp:rsid wsp:val=&quot;007B76E3&quot;/&gt;&lt;wsp:rsid wsp:val=&quot;007B7F47&quot;/&gt;&lt;wsp:rsid wsp:val=&quot;007C3C20&quot;/&gt;&lt;wsp:rsid wsp:val=&quot;007E07F5&quot;/&gt;&lt;wsp:rsid wsp:val=&quot;007E116C&quot;/&gt;&lt;wsp:rsid wsp:val=&quot;007E5906&quot;/&gt;&lt;wsp:rsid wsp:val=&quot;007F2445&quot;/&gt;&lt;wsp:rsid wsp:val=&quot;007F5957&quot;/&gt;&lt;wsp:rsid wsp:val=&quot;00807555&quot;/&gt;&lt;wsp:rsid wsp:val=&quot;008120B3&quot;/&gt;&lt;wsp:rsid wsp:val=&quot;00813F2B&quot;/&gt;&lt;wsp:rsid wsp:val=&quot;00815CD9&quot;/&gt;&lt;wsp:rsid wsp:val=&quot;00827074&quot;/&gt;&lt;wsp:rsid wsp:val=&quot;008271D2&quot;/&gt;&lt;wsp:rsid wsp:val=&quot;00830CB6&quot;/&gt;&lt;wsp:rsid wsp:val=&quot;00832EF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8067A&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7005&quot;/&gt;&lt;wsp:rsid wsp:val=&quot;008D7C21&quot;/&gt;&lt;wsp:rsid wsp:val=&quot;008E2992&quot;/&gt;&lt;wsp:rsid wsp:val=&quot;008E3830&quot;/&gt;&lt;wsp:rsid wsp:val=&quot;008F04BE&quot;/&gt;&lt;wsp:rsid wsp:val=&quot;008F621B&quot;/&gt;&lt;wsp:rsid wsp:val=&quot;008F7720&quot;/&gt;&lt;wsp:rsid wsp:val=&quot;008F7C25&quot;/&gt;&lt;wsp:rsid wsp:val=&quot;0090119C&quot;/&gt;&lt;wsp:rsid wsp:val=&quot;009117D5&quot;/&gt;&lt;wsp:rsid wsp:val=&quot;009121B0&quot;/&gt;&lt;wsp:rsid wsp:val=&quot;0091240F&quot;/&gt;&lt;wsp:rsid wsp:val=&quot;0091254E&quot;/&gt;&lt;wsp:rsid wsp:val=&quot;009170A8&quot;/&gt;&lt;wsp:rsid wsp:val=&quot;009219A7&quot;/&gt;&lt;wsp:rsid wsp:val=&quot;009241EA&quot;/&gt;&lt;wsp:rsid wsp:val=&quot;00924E2C&quot;/&gt;&lt;wsp:rsid wsp:val=&quot;00930024&quot;/&gt;&lt;wsp:rsid wsp:val=&quot;00931DD4&quot;/&gt;&lt;wsp:rsid wsp:val=&quot;0093445B&quot;/&gt;&lt;wsp:rsid wsp:val=&quot;009347F2&quot;/&gt;&lt;wsp:rsid wsp:val=&quot;00937E91&quot;/&gt;&lt;wsp:rsid wsp:val=&quot;009401DF&quot;/&gt;&lt;wsp:rsid wsp:val=&quot;00943BDE&quot;/&gt;&lt;wsp:rsid wsp:val=&quot;00947247&quot;/&gt;&lt;wsp:rsid wsp:val=&quot;009478AF&quot;/&gt;&lt;wsp:rsid wsp:val=&quot;0095386F&quot;/&gt;&lt;wsp:rsid wsp:val=&quot;00953883&quot;/&gt;&lt;wsp:rsid wsp:val=&quot;0096265B&quot;/&gt;&lt;wsp:rsid wsp:val=&quot;00964EF6&quot;/&gt;&lt;wsp:rsid wsp:val=&quot;009657DE&quot;/&gt;&lt;wsp:rsid wsp:val=&quot;00973FA2&quot;/&gt;&lt;wsp:rsid wsp:val=&quot;00974FA5&quot;/&gt;&lt;wsp:rsid wsp:val=&quot;00981D9F&quot;/&gt;&lt;wsp:rsid wsp:val=&quot;00985935&quot;/&gt;&lt;wsp:rsid wsp:val=&quot;00986B2F&quot;/&gt;&lt;wsp:rsid wsp:val=&quot;009A02D8&quot;/&gt;&lt;wsp:rsid wsp:val=&quot;009A5A09&quot;/&gt;&lt;wsp:rsid wsp:val=&quot;009A6F45&quot;/&gt;&lt;wsp:rsid wsp:val=&quot;009B1D77&quot;/&gt;&lt;wsp:rsid wsp:val=&quot;009B3214&quot;/&gt;&lt;wsp:rsid wsp:val=&quot;009B64D0&quot;/&gt;&lt;wsp:rsid wsp:val=&quot;009C2CD7&quot;/&gt;&lt;wsp:rsid wsp:val=&quot;009D0A7F&quot;/&gt;&lt;wsp:rsid wsp:val=&quot;009D11EC&quot;/&gt;&lt;wsp:rsid wsp:val=&quot;009D25E3&quot;/&gt;&lt;wsp:rsid wsp:val=&quot;009D34E2&quot;/&gt;&lt;wsp:rsid wsp:val=&quot;009E111F&quot;/&gt;&lt;wsp:rsid wsp:val=&quot;009E2F39&quot;/&gt;&lt;wsp:rsid wsp:val=&quot;009E4A2A&quot;/&gt;&lt;wsp:rsid wsp:val=&quot;009F1E10&quot;/&gt;&lt;wsp:rsid wsp:val=&quot;009F69FB&quot;/&gt;&lt;wsp:rsid wsp:val=&quot;00A053FA&quot;/&gt;&lt;wsp:rsid wsp:val=&quot;00A1200A&quot;/&gt;&lt;wsp:rsid wsp:val=&quot;00A120D8&quot;/&gt;&lt;wsp:rsid wsp:val=&quot;00A1288C&quot;/&gt;&lt;wsp:rsid wsp:val=&quot;00A144EA&quot;/&gt;&lt;wsp:rsid wsp:val=&quot;00A16B00&quot;/&gt;&lt;wsp:rsid wsp:val=&quot;00A16B41&quot;/&gt;&lt;wsp:rsid wsp:val=&quot;00A255CA&quot;/&gt;&lt;wsp:rsid wsp:val=&quot;00A31351&quot;/&gt;&lt;wsp:rsid wsp:val=&quot;00A320EB&quot;/&gt;&lt;wsp:rsid wsp:val=&quot;00A3258C&quot;/&gt;&lt;wsp:rsid wsp:val=&quot;00A43A40&quot;/&gt;&lt;wsp:rsid wsp:val=&quot;00A453E9&quot;/&gt;&lt;wsp:rsid wsp:val=&quot;00A54C47&quot;/&gt;&lt;wsp:rsid wsp:val=&quot;00A71D04&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B4&quot;/&gt;&lt;wsp:rsid wsp:val=&quot;00AB1B52&quot;/&gt;&lt;wsp:rsid wsp:val=&quot;00AB5C38&quot;/&gt;&lt;wsp:rsid wsp:val=&quot;00AC278D&quot;/&gt;&lt;wsp:rsid wsp:val=&quot;00AD1C5F&quot;/&gt;&lt;wsp:rsid wsp:val=&quot;00AD2F16&quot;/&gt;&lt;wsp:rsid wsp:val=&quot;00AD7B8A&quot;/&gt;&lt;wsp:rsid wsp:val=&quot;00AD7C0A&quot;/&gt;&lt;wsp:rsid wsp:val=&quot;00AE554F&quot;/&gt;&lt;wsp:rsid wsp:val=&quot;00AE7351&quot;/&gt;&lt;wsp:rsid wsp:val=&quot;00AF04E2&quot;/&gt;&lt;wsp:rsid wsp:val=&quot;00AF1339&quot;/&gt;&lt;wsp:rsid wsp:val=&quot;00AF676F&quot;/&gt;&lt;wsp:rsid wsp:val=&quot;00AF6EBE&quot;/&gt;&lt;wsp:rsid wsp:val=&quot;00B013F9&quot;/&gt;&lt;wsp:rsid wsp:val=&quot;00B057B7&quot;/&gt;&lt;wsp:rsid wsp:val=&quot;00B100FD&quot;/&gt;&lt;wsp:rsid wsp:val=&quot;00B112C6&quot;/&gt;&lt;wsp:rsid wsp:val=&quot;00B20627&quot;/&gt;&lt;wsp:rsid wsp:val=&quot;00B23921&quot;/&gt;&lt;wsp:rsid wsp:val=&quot;00B26221&quot;/&gt;&lt;wsp:rsid wsp:val=&quot;00B33182&quot;/&gt;&lt;wsp:rsid wsp:val=&quot;00B34F32&quot;/&gt;&lt;wsp:rsid wsp:val=&quot;00B40D93&quot;/&gt;&lt;wsp:rsid wsp:val=&quot;00B51372&quot;/&gt;&lt;wsp:rsid wsp:val=&quot;00B601DC&quot;/&gt;&lt;wsp:rsid wsp:val=&quot;00B631FD&quot;/&gt;&lt;wsp:rsid wsp:val=&quot;00B639F2&quot;/&gt;&lt;wsp:rsid wsp:val=&quot;00B640E8&quot;/&gt;&lt;wsp:rsid wsp:val=&quot;00B75DE1&quot;/&gt;&lt;wsp:rsid wsp:val=&quot;00B80F17&quot;/&gt;&lt;wsp:rsid wsp:val=&quot;00B841E5&quot;/&gt;&lt;wsp:rsid wsp:val=&quot;00B86D4D&quot;/&gt;&lt;wsp:rsid wsp:val=&quot;00B906C7&quot;/&gt;&lt;wsp:rsid wsp:val=&quot;00B90F97&quot;/&gt;&lt;wsp:rsid wsp:val=&quot;00B93DA4&quot;/&gt;&lt;wsp:rsid wsp:val=&quot;00B97AAA&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F1F78&quot;/&gt;&lt;wsp:rsid wsp:val=&quot;00BF568E&quot;/&gt;&lt;wsp:rsid wsp:val=&quot;00BF6CE0&quot;/&gt;&lt;wsp:rsid wsp:val=&quot;00C015D7&quot;/&gt;&lt;wsp:rsid wsp:val=&quot;00C05269&quot;/&gt;&lt;wsp:rsid wsp:val=&quot;00C16B72&quot;/&gt;&lt;wsp:rsid wsp:val=&quot;00C213F0&quot;/&gt;&lt;wsp:rsid wsp:val=&quot;00C2565D&quot;/&gt;&lt;wsp:rsid wsp:val=&quot;00C264AD&quot;/&gt;&lt;wsp:rsid wsp:val=&quot;00C2739B&quot;/&gt;&lt;wsp:rsid wsp:val=&quot;00C313E3&quot;/&gt;&lt;wsp:rsid wsp:val=&quot;00C37194&quot;/&gt;&lt;wsp:rsid wsp:val=&quot;00C418B6&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3ACC&quot;/&gt;&lt;wsp:rsid wsp:val=&quot;00C86B16&quot;/&gt;&lt;wsp:rsid wsp:val=&quot;00C878E9&quot;/&gt;&lt;wsp:rsid wsp:val=&quot;00C9432E&quot;/&gt;&lt;wsp:rsid wsp:val=&quot;00C973E1&quot;/&gt;&lt;wsp:rsid wsp:val=&quot;00CA3C7D&quot;/&gt;&lt;wsp:rsid wsp:val=&quot;00CA4A7A&quot;/&gt;&lt;wsp:rsid wsp:val=&quot;00CA5629&quot;/&gt;&lt;wsp:rsid wsp:val=&quot;00CA662E&quot;/&gt;&lt;wsp:rsid wsp:val=&quot;00CB0561&quot;/&gt;&lt;wsp:rsid wsp:val=&quot;00CC4FB3&quot;/&gt;&lt;wsp:rsid wsp:val=&quot;00CC5365&quot;/&gt;&lt;wsp:rsid wsp:val=&quot;00CC58B9&quot;/&gt;&lt;wsp:rsid wsp:val=&quot;00CD1153&quot;/&gt;&lt;wsp:rsid wsp:val=&quot;00CD1D60&quot;/&gt;&lt;wsp:rsid wsp:val=&quot;00CD660F&quot;/&gt;&lt;wsp:rsid wsp:val=&quot;00CE253C&quot;/&gt;&lt;wsp:rsid wsp:val=&quot;00CE35EA&quot;/&gt;&lt;wsp:rsid wsp:val=&quot;00CE4A18&quot;/&gt;&lt;wsp:rsid wsp:val=&quot;00CF2307&quot;/&gt;&lt;wsp:rsid wsp:val=&quot;00CF43FB&quot;/&gt;&lt;wsp:rsid wsp:val=&quot;00D0138D&quot;/&gt;&lt;wsp:rsid wsp:val=&quot;00D02D0D&quot;/&gt;&lt;wsp:rsid wsp:val=&quot;00D033F5&quot;/&gt;&lt;wsp:rsid wsp:val=&quot;00D1164E&quot;/&gt;&lt;wsp:rsid wsp:val=&quot;00D12666&quot;/&gt;&lt;wsp:rsid wsp:val=&quot;00D1420E&quot;/&gt;&lt;wsp:rsid wsp:val=&quot;00D15FAF&quot;/&gt;&lt;wsp:rsid wsp:val=&quot;00D26D98&quot;/&gt;&lt;wsp:rsid wsp:val=&quot;00D327B2&quot;/&gt;&lt;wsp:rsid wsp:val=&quot;00D344BC&quot;/&gt;&lt;wsp:rsid wsp:val=&quot;00D43CBF&quot;/&gt;&lt;wsp:rsid wsp:val=&quot;00D46AE1&quot;/&gt;&lt;wsp:rsid wsp:val=&quot;00D5711F&quot;/&gt;&lt;wsp:rsid wsp:val=&quot;00D60B06&quot;/&gt;&lt;wsp:rsid wsp:val=&quot;00D66373&quot;/&gt;&lt;wsp:rsid wsp:val=&quot;00D66E01&quot;/&gt;&lt;wsp:rsid wsp:val=&quot;00D6781B&quot;/&gt;&lt;wsp:rsid wsp:val=&quot;00D82F8E&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10B&quot;/&gt;&lt;wsp:rsid wsp:val=&quot;00DD5063&quot;/&gt;&lt;wsp:rsid wsp:val=&quot;00DD7B0B&quot;/&gt;&lt;wsp:rsid wsp:val=&quot;00DE0182&quot;/&gt;&lt;wsp:rsid wsp:val=&quot;00DE0B19&quot;/&gt;&lt;wsp:rsid wsp:val=&quot;00DE214A&quot;/&gt;&lt;wsp:rsid wsp:val=&quot;00DF0111&quot;/&gt;&lt;wsp:rsid wsp:val=&quot;00DF46B1&quot;/&gt;&lt;wsp:rsid wsp:val=&quot;00DF5416&quot;/&gt;&lt;wsp:rsid wsp:val=&quot;00E03022&quot;/&gt;&lt;wsp:rsid wsp:val=&quot;00E15326&quot;/&gt;&lt;wsp:rsid wsp:val=&quot;00E20892&quot;/&gt;&lt;wsp:rsid wsp:val=&quot;00E2627F&quot;/&gt;&lt;wsp:rsid wsp:val=&quot;00E32BEE&quot;/&gt;&lt;wsp:rsid wsp:val=&quot;00E435D3&quot;/&gt;&lt;wsp:rsid wsp:val=&quot;00E46490&quot;/&gt;&lt;wsp:rsid wsp:val=&quot;00E524D0&quot;/&gt;&lt;wsp:rsid wsp:val=&quot;00E64A49&quot;/&gt;&lt;wsp:rsid wsp:val=&quot;00E67062&quot;/&gt;&lt;wsp:rsid wsp:val=&quot;00E70311&quot;/&gt;&lt;wsp:rsid wsp:val=&quot;00E75E82&quot;/&gt;&lt;wsp:rsid wsp:val=&quot;00E7769E&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C7B40&quot;/&gt;&lt;wsp:rsid wsp:val=&quot;00ED034C&quot;/&gt;&lt;wsp:rsid wsp:val=&quot;00ED0A61&quot;/&gt;&lt;wsp:rsid wsp:val=&quot;00ED1810&quot;/&gt;&lt;wsp:rsid wsp:val=&quot;00ED2DFB&quot;/&gt;&lt;wsp:rsid wsp:val=&quot;00ED2E01&quot;/&gt;&lt;wsp:rsid wsp:val=&quot;00ED55AE&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202E6&quot;/&gt;&lt;wsp:rsid wsp:val=&quot;00F230BA&quot;/&gt;&lt;wsp:rsid wsp:val=&quot;00F23620&quot;/&gt;&lt;wsp:rsid wsp:val=&quot;00F24D21&quot;/&gt;&lt;wsp:rsid wsp:val=&quot;00F261B5&quot;/&gt;&lt;wsp:rsid wsp:val=&quot;00F26BD4&quot;/&gt;&lt;wsp:rsid wsp:val=&quot;00F27DE6&quot;/&gt;&lt;wsp:rsid wsp:val=&quot;00F27E3C&quot;/&gt;&lt;wsp:rsid wsp:val=&quot;00F30FD9&quot;/&gt;&lt;wsp:rsid wsp:val=&quot;00F37A8E&quot;/&gt;&lt;wsp:rsid wsp:val=&quot;00F4032A&quot;/&gt;&lt;wsp:rsid wsp:val=&quot;00F44ADB&quot;/&gt;&lt;wsp:rsid wsp:val=&quot;00F4586C&quot;/&gt;&lt;wsp:rsid wsp:val=&quot;00F52B54&quot;/&gt;&lt;wsp:rsid wsp:val=&quot;00F61405&quot;/&gt;&lt;wsp:rsid wsp:val=&quot;00F61573&quot;/&gt;&lt;wsp:rsid wsp:val=&quot;00F624EC&quot;/&gt;&lt;wsp:rsid wsp:val=&quot;00F67E59&quot;/&gt;&lt;wsp:rsid wsp:val=&quot;00F71576&quot;/&gt;&lt;wsp:rsid wsp:val=&quot;00F724AE&quot;/&gt;&lt;wsp:rsid wsp:val=&quot;00F75264&quot;/&gt;&lt;wsp:rsid wsp:val=&quot;00F756A4&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C47&quot;/&gt;&lt;wsp:rsid wsp:val=&quot;00F95794&quot;/&gt;&lt;wsp:rsid wsp:val=&quot;00F962C8&quot;/&gt;&lt;wsp:rsid wsp:val=&quot;00F9692E&quot;/&gt;&lt;wsp:rsid wsp:val=&quot;00FB02B8&quot;/&gt;&lt;wsp:rsid wsp:val=&quot;00FB0F0E&quot;/&gt;&lt;wsp:rsid wsp:val=&quot;00FB1020&quot;/&gt;&lt;wsp:rsid wsp:val=&quot;00FB3721&quot;/&gt;&lt;wsp:rsid wsp:val=&quot;00FC5F97&quot;/&gt;&lt;wsp:rsid wsp:val=&quot;00FC6459&quot;/&gt;&lt;wsp:rsid wsp:val=&quot;00FD04CC&quot;/&gt;&lt;wsp:rsid wsp:val=&quot;00FD2A5F&quot;/&gt;&lt;wsp:rsid wsp:val=&quot;00FD3B74&quot;/&gt;&lt;wsp:rsid wsp:val=&quot;00FD43E6&quot;/&gt;&lt;wsp:rsid wsp:val=&quot;00FE1FEE&quot;/&gt;&lt;wsp:rsid wsp:val=&quot;00FE6A52&quot;/&gt;&lt;wsp:rsid wsp:val=&quot;00FF45F8&quot;/&gt;&lt;/wsp:rsids&gt;&lt;/w:docPr&gt;&lt;w:body&gt;&lt;wx:sect&gt;&lt;w:p wsp:rsidR=&quot;00000000&quot; wsp:rsidRDefault=&quot;00D46AE1&quot; wsp:rsidP=&quot;00D46AE1&quot;&gt;&lt;m:oMathPara&gt;&lt;m:oMath&gt;&lt;m:sSub&gt;&lt;m:sSubPr&gt;&lt;m:ctrlPr&gt;&lt;w:rPr&gt;&lt;w:rFonts w:ascii=&quot;Cambria Math&quot; w:fareast=&quot;SimSun&quot; w:h-ansi=&quot;Cambria Math&quot; w:cs=&quot;Calibri&quot;/&gt;&lt;wx:font wx:val=&quot;Cambria Math&quot;/&gt;&lt;w:i/&gt;&lt;w:i-cs/&gt;&lt;w:sz w:val=&quot;18&quot;/&gt;&lt;w:sz-cs w:val=&quot;18&quot;/&gt;&lt;/w:rPr&gt;&lt;/m:ctrlPr&gt;&lt;/m:sSubPr&gt;&lt;m:e&gt;&lt;m:r&gt;&lt;m:rPr&gt;&lt;m:sty m:val=&quot;bi&quot;/&gt;&lt;/m:rPr&gt;&lt;w:rPr&gt;&lt;w:rFonts w:ascii=&quot;Cambria Math&quot; w:fareast=&quot;Malgun Gothic&quot; w:h-ansi=&quot;Cambria Math&quot; w:cs=&quot;Calibri&quot;/&gt;&lt;wx:font wx:val=&quot;Cambria Math&quot;/&gt;&lt;w:b/&gt;&lt;w:i/&gt;&lt;w:sz w:val=&quot;18&quot;/&gt;&lt;w:sz-cs w:val=&quot;18&quot;/&gt;&lt;/w:rPr&gt;&lt;m:t&gt;W&lt;/m:t&gt;&lt;/m:r&gt;&lt;/m:e&gt;&lt;m:sub&gt;&lt;m:r&gt;&lt;w:rPr&gt;&lt;w:rFonts w:ascii=&quot;Cambria Math&quot; w:fareast=&quot;Malgun Gothic&quot; w:h-ansi=&quot;Cambria Math&quot; w:cs=&quot;Calibri&quot;/&gt;&lt;wx:font wx:val=&quot;Cambria Math&quot;/&gt;&lt;w:i/&gt;&lt;w:sz w:val=&quot;18&quot;/&gt;&lt;w:sz-cs w:val=&quot;18&quot;/&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95F09">
              <w:rPr>
                <w:sz w:val="20"/>
                <w:szCs w:val="20"/>
              </w:rPr>
              <w:fldChar w:fldCharType="end"/>
            </w: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r w:rsidRPr="00295F09">
              <w:rPr>
                <w:sz w:val="20"/>
                <w:szCs w:val="20"/>
              </w:rPr>
              <w:t xml:space="preserve"> </w:t>
            </w:r>
          </w:p>
          <w:p w:rsidR="008A18C8" w:rsidRPr="00295F09" w:rsidRDefault="008A18C8" w:rsidP="008A18C8">
            <w:pPr>
              <w:snapToGrid w:val="0"/>
              <w:rPr>
                <w:sz w:val="20"/>
                <w:szCs w:val="20"/>
              </w:rPr>
            </w:pPr>
            <w:r w:rsidRPr="00295F09">
              <w:rPr>
                <w:sz w:val="20"/>
                <w:szCs w:val="20"/>
              </w:rPr>
              <w:t>For the Rel-18 Type-II codebook refinement for high/medium velocities, when N</w:t>
            </w:r>
            <w:r w:rsidRPr="00295F09">
              <w:rPr>
                <w:sz w:val="20"/>
                <w:szCs w:val="20"/>
                <w:vertAlign w:val="subscript"/>
              </w:rPr>
              <w:t>4</w:t>
            </w:r>
            <w:r w:rsidRPr="00295F09">
              <w:rPr>
                <w:sz w:val="20"/>
                <w:szCs w:val="20"/>
              </w:rPr>
              <w:t>&gt;1, there is no consensus in introducing rotation factor (selected for each SD basis vector) as an additional PMI component</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rFonts w:eastAsia="SimSun"/>
                <w:sz w:val="20"/>
                <w:szCs w:val="20"/>
              </w:rPr>
              <w:t xml:space="preserve">For the Type-II codebook refinement for high/medium velocities, in </w:t>
            </w:r>
            <w:r w:rsidRPr="00295F09">
              <w:rPr>
                <w:sz w:val="20"/>
                <w:szCs w:val="20"/>
              </w:rPr>
              <w:t xml:space="preserve">one CSI reporting instance, for a given CQI sub-band, at least support including one CQI </w:t>
            </w:r>
          </w:p>
          <w:p w:rsidR="008A18C8" w:rsidRPr="00295F09" w:rsidRDefault="008A18C8">
            <w:pPr>
              <w:pStyle w:val="ListParagraph"/>
              <w:numPr>
                <w:ilvl w:val="0"/>
                <w:numId w:val="26"/>
              </w:numPr>
              <w:suppressAutoHyphens/>
              <w:snapToGrid w:val="0"/>
              <w:ind w:leftChars="0"/>
              <w:rPr>
                <w:rFonts w:ascii="Times New Roman" w:hAnsi="Times New Roman"/>
                <w:szCs w:val="20"/>
              </w:rPr>
            </w:pPr>
            <w:r w:rsidRPr="00295F09">
              <w:rPr>
                <w:rFonts w:ascii="Times New Roman" w:hAnsi="Times New Roman"/>
                <w:szCs w:val="20"/>
              </w:rPr>
              <w:t>FFS: The association of the CQI with PMI(s) and/or slot(s) within one duration of CSI reporting window W</w:t>
            </w:r>
            <w:r w:rsidRPr="00295F09">
              <w:rPr>
                <w:rFonts w:ascii="Times New Roman" w:hAnsi="Times New Roman"/>
                <w:szCs w:val="20"/>
                <w:vertAlign w:val="subscript"/>
              </w:rPr>
              <w:t>CSI</w:t>
            </w:r>
          </w:p>
          <w:p w:rsidR="008A18C8" w:rsidRPr="00295F09" w:rsidRDefault="008A18C8">
            <w:pPr>
              <w:pStyle w:val="ListParagraph"/>
              <w:numPr>
                <w:ilvl w:val="0"/>
                <w:numId w:val="26"/>
              </w:numPr>
              <w:suppressAutoHyphens/>
              <w:snapToGrid w:val="0"/>
              <w:ind w:leftChars="0"/>
              <w:rPr>
                <w:rFonts w:ascii="Times New Roman" w:hAnsi="Times New Roman"/>
                <w:szCs w:val="20"/>
              </w:rPr>
            </w:pPr>
            <w:r w:rsidRPr="00295F09">
              <w:rPr>
                <w:rFonts w:ascii="Times New Roman" w:hAnsi="Times New Roman"/>
                <w:szCs w:val="20"/>
              </w:rPr>
              <w:t xml:space="preserve">FFS: The support for including more than one CQIs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lastRenderedPageBreak/>
              <w:t xml:space="preserve">For the Type-II codebook refinement for high/medium velocities, the parameter </w:t>
            </w:r>
            <w:r w:rsidRPr="00295F09">
              <w:rPr>
                <w:i/>
                <w:iCs/>
                <w:sz w:val="20"/>
                <w:szCs w:val="20"/>
              </w:rPr>
              <w:t>δ</w:t>
            </w:r>
            <w:r w:rsidRPr="00295F09">
              <w:rPr>
                <w:sz w:val="20"/>
                <w:szCs w:val="20"/>
              </w:rPr>
              <w:t xml:space="preserve"> (in slots) is gNB-configured via higher-layer (RRC) signalling from a set of the following candidate values:</w:t>
            </w:r>
          </w:p>
          <w:p w:rsidR="008A18C8" w:rsidRPr="00295F09" w:rsidRDefault="008A18C8">
            <w:pPr>
              <w:pStyle w:val="ListParagraph"/>
              <w:numPr>
                <w:ilvl w:val="0"/>
                <w:numId w:val="27"/>
              </w:numPr>
              <w:snapToGrid w:val="0"/>
              <w:ind w:leftChars="0"/>
              <w:contextualSpacing/>
              <w:rPr>
                <w:rFonts w:ascii="Times New Roman" w:hAnsi="Times New Roman"/>
                <w:szCs w:val="20"/>
              </w:rPr>
            </w:pPr>
            <w:r w:rsidRPr="00295F09">
              <w:rPr>
                <w:rFonts w:ascii="Times New Roman" w:hAnsi="Times New Roman"/>
                <w:iCs/>
                <w:szCs w:val="20"/>
              </w:rPr>
              <w:t xml:space="preserve">First candidate value: </w:t>
            </w:r>
            <w:r w:rsidRPr="00295F09">
              <w:rPr>
                <w:rFonts w:ascii="Times New Roman" w:hAnsi="Times New Roman"/>
                <w:i/>
                <w:iCs/>
                <w:szCs w:val="20"/>
              </w:rPr>
              <w:t>δ</w:t>
            </w:r>
            <w:r w:rsidRPr="00295F09">
              <w:rPr>
                <w:rFonts w:ascii="Times New Roman" w:hAnsi="Times New Roman"/>
                <w:szCs w:val="20"/>
              </w:rPr>
              <w:t xml:space="preserve">=0, </w:t>
            </w:r>
          </w:p>
          <w:p w:rsidR="008A18C8" w:rsidRPr="00295F09" w:rsidRDefault="008A18C8">
            <w:pPr>
              <w:pStyle w:val="ListParagraph"/>
              <w:numPr>
                <w:ilvl w:val="0"/>
                <w:numId w:val="27"/>
              </w:numPr>
              <w:snapToGrid w:val="0"/>
              <w:ind w:leftChars="0"/>
              <w:contextualSpacing/>
              <w:rPr>
                <w:rFonts w:ascii="Times New Roman" w:hAnsi="Times New Roman"/>
                <w:szCs w:val="20"/>
              </w:rPr>
            </w:pPr>
            <w:r w:rsidRPr="00295F09">
              <w:rPr>
                <w:rFonts w:ascii="Times New Roman" w:hAnsi="Times New Roman"/>
                <w:szCs w:val="20"/>
              </w:rPr>
              <w:t xml:space="preserve">2 additional non-zero values of parameter </w:t>
            </w:r>
            <w:r w:rsidRPr="00295F09">
              <w:rPr>
                <w:rFonts w:ascii="Times New Roman" w:hAnsi="Times New Roman"/>
                <w:i/>
                <w:iCs/>
                <w:szCs w:val="20"/>
              </w:rPr>
              <w:t>δ</w:t>
            </w:r>
            <w:r w:rsidRPr="00295F09">
              <w:rPr>
                <w:rFonts w:ascii="Times New Roman" w:hAnsi="Times New Roman"/>
                <w:szCs w:val="20"/>
              </w:rPr>
              <w:t xml:space="preserve"> are supported</w:t>
            </w:r>
          </w:p>
          <w:p w:rsidR="008A18C8" w:rsidRPr="00295F09" w:rsidRDefault="008A18C8">
            <w:pPr>
              <w:pStyle w:val="ListParagraph"/>
              <w:numPr>
                <w:ilvl w:val="1"/>
                <w:numId w:val="27"/>
              </w:numPr>
              <w:snapToGrid w:val="0"/>
              <w:ind w:leftChars="0"/>
              <w:contextualSpacing/>
              <w:rPr>
                <w:rFonts w:ascii="Times New Roman" w:hAnsi="Times New Roman"/>
                <w:szCs w:val="20"/>
              </w:rPr>
            </w:pPr>
            <w:r w:rsidRPr="00295F09">
              <w:rPr>
                <w:rFonts w:ascii="Times New Roman" w:hAnsi="Times New Roman"/>
                <w:szCs w:val="20"/>
              </w:rPr>
              <w:t>FFS: the non-zero value(s), to be selected from 1, 2, 3, 4, 5, 6, and 8</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sz w:val="20"/>
                <w:szCs w:val="20"/>
              </w:rPr>
            </w:pPr>
            <w:r w:rsidRPr="00295F09">
              <w:rPr>
                <w:b/>
                <w:sz w:val="20"/>
                <w:szCs w:val="20"/>
              </w:rPr>
              <w:t>Conclusion</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w:t>
            </w:r>
            <w:r w:rsidRPr="00295F09">
              <w:rPr>
                <w:sz w:val="20"/>
                <w:szCs w:val="20"/>
              </w:rPr>
              <w:t>, there is no consensus in supporting the additional value of 1.</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On the Type-II codebook refinement for CJT mTRP, regarding the codebook parameter </w:t>
            </w:r>
            <w:r w:rsidRPr="00295F09">
              <w:rPr>
                <w:i/>
                <w:sz w:val="20"/>
                <w:szCs w:val="20"/>
              </w:rPr>
              <w:t>p</w:t>
            </w:r>
            <w:r w:rsidRPr="00295F09">
              <w:rPr>
                <w:i/>
                <w:sz w:val="20"/>
                <w:szCs w:val="20"/>
                <w:vertAlign w:val="subscript"/>
              </w:rPr>
              <w:t>v</w:t>
            </w:r>
            <w:r w:rsidRPr="00295F09">
              <w:rPr>
                <w:sz w:val="20"/>
                <w:szCs w:val="20"/>
              </w:rPr>
              <w:t xml:space="preserve">, support the additional value of </w:t>
            </w:r>
            <w:r w:rsidRPr="00295F09">
              <w:rPr>
                <w:i/>
                <w:sz w:val="20"/>
                <w:szCs w:val="20"/>
              </w:rPr>
              <w:t>p</w:t>
            </w:r>
            <w:r w:rsidRPr="00295F09">
              <w:rPr>
                <w:sz w:val="20"/>
                <w:szCs w:val="20"/>
                <w:vertAlign w:val="subscript"/>
              </w:rPr>
              <w:t>v</w:t>
            </w:r>
            <w:r w:rsidRPr="00295F09">
              <w:rPr>
                <w:sz w:val="20"/>
                <w:szCs w:val="20"/>
              </w:rPr>
              <w:t xml:space="preserve">=1/2 for </w:t>
            </w:r>
            <w:r w:rsidRPr="00295F09">
              <w:rPr>
                <w:i/>
                <w:sz w:val="20"/>
                <w:szCs w:val="20"/>
              </w:rPr>
              <w:t>v</w:t>
            </w:r>
            <w:r w:rsidRPr="00295F09">
              <w:rPr>
                <w:sz w:val="20"/>
                <w:szCs w:val="20"/>
              </w:rPr>
              <w:t>=1,2,3,4 with the following condition:</w:t>
            </w:r>
          </w:p>
          <w:p w:rsidR="008A18C8" w:rsidRPr="00295F09" w:rsidRDefault="008A18C8" w:rsidP="008A18C8">
            <w:pPr>
              <w:rPr>
                <w:iCs/>
                <w:sz w:val="20"/>
                <w:szCs w:val="20"/>
              </w:rPr>
            </w:pPr>
            <w:r w:rsidRPr="00295F09">
              <w:rPr>
                <w:sz w:val="20"/>
                <w:szCs w:val="20"/>
              </w:rPr>
              <w:t>Only to be used in combination with other parameter value(s) to limit the increase in PMI overhead comparable to the maximum overhead of the legacy Rel-16/17 Type-II codebooks (exact parameter combination(s) FFS)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jc w:val="both"/>
              <w:rPr>
                <w:rFonts w:eastAsia="Malgun Gothic"/>
                <w:sz w:val="20"/>
                <w:szCs w:val="20"/>
              </w:rPr>
            </w:pPr>
            <w:r w:rsidRPr="00295F09">
              <w:rPr>
                <w:sz w:val="20"/>
                <w:szCs w:val="20"/>
              </w:rPr>
              <w:t>On the Type-II codebook refinement for CJT mTRP,</w:t>
            </w:r>
            <w:r w:rsidRPr="00295F09">
              <w:rPr>
                <w:rFonts w:eastAsia="Malgun Gothic"/>
                <w:sz w:val="20"/>
                <w:szCs w:val="20"/>
              </w:rPr>
              <w:t xml:space="preserve"> </w:t>
            </w:r>
            <w:r w:rsidRPr="00295F09">
              <w:rPr>
                <w:sz w:val="20"/>
                <w:szCs w:val="20"/>
              </w:rPr>
              <w:t xml:space="preserve">regarding the bitmap(s) for indicating the locations of NZCs, reuse the legacy design. This implies that the size of the bitmap for selected CSI-RS resource </w:t>
            </w:r>
            <w:r w:rsidRPr="00295F09">
              <w:rPr>
                <w:i/>
                <w:sz w:val="20"/>
                <w:szCs w:val="20"/>
              </w:rPr>
              <w:t>n</w:t>
            </w:r>
            <w:r w:rsidRPr="00295F09">
              <w:rPr>
                <w:sz w:val="20"/>
                <w:szCs w:val="20"/>
              </w:rPr>
              <w:t xml:space="preserve"> (</w:t>
            </w:r>
            <w:r w:rsidRPr="00295F09">
              <w:rPr>
                <w:i/>
                <w:sz w:val="20"/>
                <w:szCs w:val="20"/>
              </w:rPr>
              <w:t>B</w:t>
            </w:r>
            <w:r w:rsidRPr="00295F09">
              <w:rPr>
                <w:i/>
                <w:sz w:val="20"/>
                <w:szCs w:val="20"/>
                <w:vertAlign w:val="subscript"/>
              </w:rPr>
              <w:t>n</w:t>
            </w:r>
            <w:r w:rsidRPr="00295F09">
              <w:rPr>
                <w:sz w:val="20"/>
                <w:szCs w:val="20"/>
              </w:rPr>
              <w:t xml:space="preserve">) is, </w:t>
            </w:r>
            <w:r w:rsidRPr="00295F09">
              <w:rPr>
                <w:sz w:val="20"/>
                <w:szCs w:val="20"/>
              </w:rPr>
              <w:fldChar w:fldCharType="begin"/>
            </w:r>
            <w:r w:rsidRPr="00295F09">
              <w:rPr>
                <w:sz w:val="20"/>
                <w:szCs w:val="20"/>
              </w:rPr>
              <w:instrText xml:space="preserve"> QUOTE </w:instrText>
            </w:r>
            <w:r w:rsidR="003F2720">
              <w:rPr>
                <w:noProof/>
                <w:position w:val="-4"/>
                <w:sz w:val="20"/>
                <w:szCs w:val="20"/>
              </w:rPr>
              <w:pict>
                <v:shape id="_x0000_i1040" type="#_x0000_t75" alt="" style="width:47.6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05D2F&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2307&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E5A&quot;/&gt;&lt;wsp:rsid wsp:val=&quot;00FF2927&quot;/&gt;&lt;wsp:rsid wsp:val=&quot;00FF45F8&quot;/&gt;&lt;/wsp:rsids&gt;&lt;/w:docPr&gt;&lt;w:body&gt;&lt;wx:sect&gt;&lt;w:p wsp:rsidR=&quot;00000000&quot; wsp:rsidRDefault=&quot;00505D2F&quot; wsp:rsidP=&quot;00505D2F&quot;&gt;&lt;m:oMathPara&gt;&lt;m:oMath&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B&lt;/m:t&gt;&lt;/m:r&gt;&lt;/m:e&gt;&lt;m:sub&gt;&lt;m:r&gt;&lt;w:rPr&gt;&lt;w:rFonts w:ascii=&quot;Cambria Math&quot; w:h-ansi=&quot;Cambria Math&quot;/&gt;&lt;wx:font wx:val=&quot;Cambria Math&quot;/&gt;&lt;w:i/&gt;&lt;w:sz w:val=&quot;18&quot;/&gt;&lt;w:sz-cs w:val=&quot;18&quot;/&gt;&lt;/w:rPr&gt;&lt;m:t&gt;n&lt;/m:t&gt;&lt;/m:r&gt;&lt;/m:sub&gt;&lt;/m:sSub&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L&lt;/m:t&gt;&lt;/m:r&gt;&lt;/m:e&gt;&lt;m:sub&gt;&lt;m:r&gt;&lt;w:rPr&gt;&lt;w:rFonts w:ascii=&quot;Cambria Math&quot; w:h-ansi=&quot;Cambria Math&quot;/&gt;&lt;wx:font wx:val=&quot;Cambria Math&quot;/&gt;&lt;w:i/&gt;&lt;w:sz w:val=&quot;18&quot;/&gt;&lt;w:sz-cs w:val=&quot;18&quot;/&gt;&lt;/w:rPr&gt;&lt;m:t&gt;n&lt;/m:t&gt;&lt;/m:r&gt;&lt;/m:sub&gt;&lt;/m:sSub&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95F09">
              <w:rPr>
                <w:sz w:val="20"/>
                <w:szCs w:val="20"/>
              </w:rPr>
              <w:instrText xml:space="preserve"> </w:instrText>
            </w:r>
            <w:r w:rsidRPr="00295F09">
              <w:rPr>
                <w:sz w:val="20"/>
                <w:szCs w:val="20"/>
              </w:rPr>
              <w:fldChar w:fldCharType="separate"/>
            </w:r>
            <w:r w:rsidR="003F2720">
              <w:rPr>
                <w:noProof/>
                <w:position w:val="-4"/>
                <w:sz w:val="20"/>
                <w:szCs w:val="20"/>
              </w:rPr>
              <w:pict>
                <v:shape id="_x0000_i1039" type="#_x0000_t75" alt="" style="width:47.6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05D2F&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2307&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E5A&quot;/&gt;&lt;wsp:rsid wsp:val=&quot;00FF2927&quot;/&gt;&lt;wsp:rsid wsp:val=&quot;00FF45F8&quot;/&gt;&lt;/wsp:rsids&gt;&lt;/w:docPr&gt;&lt;w:body&gt;&lt;wx:sect&gt;&lt;w:p wsp:rsidR=&quot;00000000&quot; wsp:rsidRDefault=&quot;00505D2F&quot; wsp:rsidP=&quot;00505D2F&quot;&gt;&lt;m:oMathPara&gt;&lt;m:oMath&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B&lt;/m:t&gt;&lt;/m:r&gt;&lt;/m:e&gt;&lt;m:sub&gt;&lt;m:r&gt;&lt;w:rPr&gt;&lt;w:rFonts w:ascii=&quot;Cambria Math&quot; w:h-ansi=&quot;Cambria Math&quot;/&gt;&lt;wx:font wx:val=&quot;Cambria Math&quot;/&gt;&lt;w:i/&gt;&lt;w:sz w:val=&quot;18&quot;/&gt;&lt;w:sz-cs w:val=&quot;18&quot;/&gt;&lt;/w:rPr&gt;&lt;m:t&gt;n&lt;/m:t&gt;&lt;/m:r&gt;&lt;/m:sub&gt;&lt;/m:sSub&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L&lt;/m:t&gt;&lt;/m:r&gt;&lt;/m:e&gt;&lt;m:sub&gt;&lt;m:r&gt;&lt;w:rPr&gt;&lt;w:rFonts w:ascii=&quot;Cambria Math&quot; w:h-ansi=&quot;Cambria Math&quot;/&gt;&lt;wx:font wx:val=&quot;Cambria Math&quot;/&gt;&lt;w:i/&gt;&lt;w:sz w:val=&quot;18&quot;/&gt;&lt;w:sz-cs w:val=&quot;18&quot;/&gt;&lt;/w:rPr&gt;&lt;m:t&gt;n&lt;/m:t&gt;&lt;/m:r&gt;&lt;/m:sub&gt;&lt;/m:sSub&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95F09">
              <w:rPr>
                <w:sz w:val="20"/>
                <w:szCs w:val="20"/>
              </w:rPr>
              <w:fldChar w:fldCharType="end"/>
            </w:r>
            <w:r w:rsidRPr="00295F09">
              <w:rPr>
                <w:sz w:val="20"/>
                <w:szCs w:val="20"/>
              </w:rPr>
              <w:t xml:space="preserve"> </w:t>
            </w:r>
          </w:p>
          <w:p w:rsidR="008A18C8" w:rsidRPr="00295F09" w:rsidRDefault="008A18C8">
            <w:pPr>
              <w:pStyle w:val="ListParagraph"/>
              <w:widowControl w:val="0"/>
              <w:numPr>
                <w:ilvl w:val="0"/>
                <w:numId w:val="28"/>
              </w:numPr>
              <w:suppressAutoHyphens/>
              <w:snapToGrid w:val="0"/>
              <w:ind w:leftChars="0"/>
              <w:jc w:val="both"/>
              <w:rPr>
                <w:rFonts w:ascii="Times New Roman" w:hAnsi="Times New Roman"/>
                <w:szCs w:val="20"/>
              </w:rPr>
            </w:pPr>
            <w:r w:rsidRPr="00295F09">
              <w:rPr>
                <w:rFonts w:ascii="Times New Roman" w:hAnsi="Times New Roman"/>
                <w:szCs w:val="20"/>
              </w:rPr>
              <w:t xml:space="preserve">FFS: additional mechanism to reduce bitmap overhead for larger N values, e.g. including via Parameter Combination </w:t>
            </w:r>
          </w:p>
          <w:p w:rsidR="008A18C8" w:rsidRPr="00295F09" w:rsidRDefault="008A18C8" w:rsidP="008A18C8">
            <w:pPr>
              <w:widowControl w:val="0"/>
              <w:snapToGrid w:val="0"/>
              <w:jc w:val="both"/>
              <w:rPr>
                <w:rFonts w:eastAsia="Malgun Gothic"/>
                <w:b/>
                <w:sz w:val="20"/>
                <w:szCs w:val="20"/>
                <w:u w:val="single"/>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sz w:val="20"/>
                <w:szCs w:val="20"/>
              </w:rPr>
              <w:t>On the W</w:t>
            </w:r>
            <w:r w:rsidRPr="00295F09">
              <w:rPr>
                <w:sz w:val="20"/>
                <w:szCs w:val="20"/>
                <w:vertAlign w:val="subscript"/>
              </w:rPr>
              <w:t>2</w:t>
            </w:r>
            <w:r w:rsidRPr="00295F09">
              <w:rPr>
                <w:sz w:val="20"/>
                <w:szCs w:val="20"/>
              </w:rPr>
              <w:t xml:space="preserve"> coefficient quantization scheme for the Type-II codebook refinement for CJT mTRP, for N=3 and N=4, just as N=2, </w:t>
            </w:r>
            <w:r w:rsidRPr="00295F09">
              <w:rPr>
                <w:rFonts w:eastAsia="SimSun"/>
                <w:sz w:val="20"/>
                <w:szCs w:val="20"/>
              </w:rPr>
              <w:t xml:space="preserve">reuse </w:t>
            </w:r>
            <w:r w:rsidRPr="00295F09">
              <w:rPr>
                <w:rFonts w:eastAsia="SimSun"/>
                <w:i/>
                <w:iCs/>
                <w:sz w:val="20"/>
                <w:szCs w:val="20"/>
              </w:rPr>
              <w:t>the following components</w:t>
            </w:r>
            <w:r w:rsidRPr="00295F09">
              <w:rPr>
                <w:rFonts w:eastAsia="SimSun"/>
                <w:sz w:val="20"/>
                <w:szCs w:val="20"/>
              </w:rPr>
              <w:t xml:space="preserve"> of the legacy Rel-16/17 per-coefficient quantization scheme: </w:t>
            </w:r>
          </w:p>
          <w:p w:rsidR="008A18C8" w:rsidRPr="00295F09" w:rsidRDefault="008A18C8">
            <w:pPr>
              <w:numPr>
                <w:ilvl w:val="0"/>
                <w:numId w:val="14"/>
              </w:numPr>
              <w:snapToGrid w:val="0"/>
              <w:rPr>
                <w:rFonts w:eastAsia="SimSun"/>
                <w:sz w:val="20"/>
                <w:szCs w:val="20"/>
              </w:rPr>
            </w:pPr>
            <w:r w:rsidRPr="00295F09">
              <w:rPr>
                <w:rFonts w:eastAsia="SimSun"/>
                <w:sz w:val="20"/>
                <w:szCs w:val="20"/>
              </w:rPr>
              <w:t>Alphabets for amplitude and phase</w:t>
            </w:r>
          </w:p>
          <w:p w:rsidR="008A18C8" w:rsidRPr="00295F09" w:rsidRDefault="008A18C8">
            <w:pPr>
              <w:numPr>
                <w:ilvl w:val="0"/>
                <w:numId w:val="14"/>
              </w:numPr>
              <w:snapToGrid w:val="0"/>
              <w:rPr>
                <w:rFonts w:eastAsia="SimSun"/>
                <w:sz w:val="20"/>
                <w:szCs w:val="20"/>
              </w:rPr>
            </w:pPr>
            <w:r w:rsidRPr="00295F09">
              <w:rPr>
                <w:rFonts w:eastAsia="SimSun"/>
                <w:sz w:val="20"/>
                <w:szCs w:val="20"/>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widowControl w:val="0"/>
              <w:snapToGrid w:val="0"/>
              <w:jc w:val="both"/>
              <w:rPr>
                <w:sz w:val="20"/>
                <w:szCs w:val="20"/>
              </w:rPr>
            </w:pPr>
            <w:r w:rsidRPr="00295F09">
              <w:rPr>
                <w:sz w:val="20"/>
                <w:szCs w:val="20"/>
              </w:rPr>
              <w:t xml:space="preserve">For the Rel-18 Type-II codebook refinement for high/medium velocities, regarding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assuming 1 CQI in one sub-band and one CSI reporting instance, down-select (by RAN1#112) one from the following alternatives:</w:t>
            </w:r>
          </w:p>
          <w:p w:rsidR="008A18C8" w:rsidRPr="00295F09" w:rsidRDefault="008A18C8">
            <w:pPr>
              <w:widowControl w:val="0"/>
              <w:numPr>
                <w:ilvl w:val="0"/>
                <w:numId w:val="29"/>
              </w:numPr>
              <w:snapToGrid w:val="0"/>
              <w:jc w:val="both"/>
              <w:rPr>
                <w:sz w:val="20"/>
                <w:szCs w:val="20"/>
              </w:rPr>
            </w:pPr>
            <w:r w:rsidRPr="00295F09">
              <w:rPr>
                <w:sz w:val="20"/>
                <w:szCs w:val="20"/>
              </w:rPr>
              <w:t xml:space="preserve">Alt1. The CQI is associated with the entire duration of the CSI reporting window and all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8A18C8" w:rsidRPr="00295F09" w:rsidRDefault="008A18C8">
            <w:pPr>
              <w:widowControl w:val="0"/>
              <w:numPr>
                <w:ilvl w:val="0"/>
                <w:numId w:val="29"/>
              </w:numPr>
              <w:snapToGrid w:val="0"/>
              <w:jc w:val="both"/>
              <w:rPr>
                <w:sz w:val="20"/>
                <w:szCs w:val="20"/>
              </w:rPr>
            </w:pPr>
            <w:r w:rsidRPr="00295F09">
              <w:rPr>
                <w:sz w:val="20"/>
                <w:szCs w:val="20"/>
              </w:rPr>
              <w:t xml:space="preserve">Alt2A. The CQI is associated with the first/earliest slot of the CSI reporting window and the first/earliest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8A18C8" w:rsidRPr="00295F09" w:rsidRDefault="008A18C8">
            <w:pPr>
              <w:widowControl w:val="0"/>
              <w:numPr>
                <w:ilvl w:val="0"/>
                <w:numId w:val="29"/>
              </w:numPr>
              <w:snapToGrid w:val="0"/>
              <w:jc w:val="both"/>
              <w:rPr>
                <w:sz w:val="20"/>
                <w:szCs w:val="20"/>
              </w:rPr>
            </w:pPr>
            <w:r w:rsidRPr="00295F09">
              <w:rPr>
                <w:sz w:val="20"/>
                <w:szCs w:val="20"/>
              </w:rPr>
              <w:t xml:space="preserve">Alt2B.  The CQI is associated with the first/earliest </w:t>
            </w:r>
            <w:r w:rsidRPr="00295F09">
              <w:rPr>
                <w:i/>
                <w:sz w:val="20"/>
                <w:szCs w:val="20"/>
              </w:rPr>
              <w:t>d</w:t>
            </w:r>
            <w:r w:rsidRPr="00295F09">
              <w:rPr>
                <w:sz w:val="20"/>
                <w:szCs w:val="20"/>
              </w:rPr>
              <w:t xml:space="preserve"> slots of the CSI reporting window and the first/earliest one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w:t>
            </w:r>
          </w:p>
          <w:p w:rsidR="008A18C8" w:rsidRPr="00295F09" w:rsidRDefault="008A18C8" w:rsidP="008A18C8">
            <w:pPr>
              <w:widowControl w:val="0"/>
              <w:snapToGrid w:val="0"/>
              <w:jc w:val="both"/>
              <w:rPr>
                <w:sz w:val="20"/>
                <w:szCs w:val="20"/>
              </w:rPr>
            </w:pPr>
            <w:r w:rsidRPr="00295F09">
              <w:rPr>
                <w:sz w:val="20"/>
                <w:szCs w:val="20"/>
              </w:rPr>
              <w:t xml:space="preserve">Note: The </w:t>
            </w:r>
            <w:r w:rsidRPr="00295F09">
              <w:rPr>
                <w:i/>
                <w:sz w:val="20"/>
                <w:szCs w:val="20"/>
              </w:rPr>
              <w:t>N</w:t>
            </w:r>
            <w:r w:rsidRPr="00295F09">
              <w:rPr>
                <w:sz w:val="20"/>
                <w:szCs w:val="20"/>
                <w:vertAlign w:val="subscript"/>
              </w:rPr>
              <w:t>4</w:t>
            </w:r>
            <w:r w:rsidRPr="00295F09">
              <w:rPr>
                <w:b/>
                <w:sz w:val="20"/>
                <w:szCs w:val="20"/>
              </w:rPr>
              <w:t xml:space="preserve"> W</w:t>
            </w:r>
            <w:r w:rsidRPr="00295F09">
              <w:rPr>
                <w:sz w:val="20"/>
                <w:szCs w:val="20"/>
                <w:vertAlign w:val="subscript"/>
              </w:rPr>
              <w:t>2</w:t>
            </w:r>
            <w:r w:rsidRPr="00295F09">
              <w:rPr>
                <w:sz w:val="20"/>
                <w:szCs w:val="20"/>
              </w:rPr>
              <w:t xml:space="preserve"> matrices represent the combining coefficients before DD compression at the UE, or after DD de-compression at the gNB</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Rel-18 Type-II codebook refinement for high/medium velocities, decide </w:t>
            </w:r>
            <w:r w:rsidRPr="00295F09">
              <w:rPr>
                <w:i/>
                <w:sz w:val="20"/>
                <w:szCs w:val="20"/>
              </w:rPr>
              <w:t>by RAN1#112</w:t>
            </w:r>
            <w:r w:rsidRPr="00295F09">
              <w:rPr>
                <w:sz w:val="20"/>
                <w:szCs w:val="20"/>
              </w:rPr>
              <w:t xml:space="preserve"> whether including X&gt;1 CQIs in one sub-band and one CSI reporting instance are supported</w:t>
            </w:r>
          </w:p>
          <w:p w:rsidR="008A18C8" w:rsidRPr="00295F09" w:rsidRDefault="008A18C8">
            <w:pPr>
              <w:pStyle w:val="ListParagraph"/>
              <w:numPr>
                <w:ilvl w:val="0"/>
                <w:numId w:val="30"/>
              </w:numPr>
              <w:suppressAutoHyphens/>
              <w:snapToGrid w:val="0"/>
              <w:ind w:leftChars="0"/>
              <w:rPr>
                <w:rFonts w:ascii="Times New Roman" w:hAnsi="Times New Roman"/>
                <w:szCs w:val="20"/>
              </w:rPr>
            </w:pPr>
            <w:r w:rsidRPr="00295F09">
              <w:rPr>
                <w:rFonts w:ascii="Times New Roman" w:hAnsi="Times New Roman"/>
                <w:szCs w:val="20"/>
              </w:rPr>
              <w:t xml:space="preserve">If supported, also decide the value(s) of X and the time instance and/or PMI(s) in which a CQI is associated with, given the CSI reporting window </w:t>
            </w:r>
            <w:r w:rsidRPr="00295F09">
              <w:rPr>
                <w:rFonts w:ascii="Times New Roman" w:hAnsi="Times New Roman"/>
                <w:i/>
                <w:szCs w:val="20"/>
              </w:rPr>
              <w:t>W</w:t>
            </w:r>
            <w:r w:rsidRPr="00295F09">
              <w:rPr>
                <w:rFonts w:ascii="Times New Roman" w:hAnsi="Times New Roman"/>
                <w:i/>
                <w:szCs w:val="20"/>
                <w:vertAlign w:val="subscript"/>
              </w:rPr>
              <w:t>CSI</w:t>
            </w:r>
            <w:r w:rsidRPr="00295F09">
              <w:rPr>
                <w:rFonts w:ascii="Times New Roman" w:hAnsi="Times New Roman"/>
                <w:szCs w:val="20"/>
              </w:rPr>
              <w:t xml:space="preserve"> (in slots)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for </w:t>
            </w:r>
            <w:r w:rsidRPr="00295F09">
              <w:rPr>
                <w:i/>
                <w:sz w:val="20"/>
                <w:szCs w:val="20"/>
              </w:rPr>
              <w:t>N</w:t>
            </w:r>
            <w:r w:rsidRPr="00295F09">
              <w:rPr>
                <w:sz w:val="20"/>
                <w:szCs w:val="20"/>
                <w:vertAlign w:val="subscript"/>
              </w:rPr>
              <w:t>4</w:t>
            </w:r>
            <w:r w:rsidRPr="00295F09">
              <w:rPr>
                <w:sz w:val="20"/>
                <w:szCs w:val="20"/>
              </w:rPr>
              <w:t>&gt;</w:t>
            </w:r>
            <w:r w:rsidRPr="00295F09">
              <w:rPr>
                <w:bCs/>
                <w:sz w:val="20"/>
                <w:szCs w:val="20"/>
              </w:rPr>
              <w:t>1</w:t>
            </w:r>
            <w:r w:rsidRPr="00295F09">
              <w:rPr>
                <w:sz w:val="20"/>
                <w:szCs w:val="20"/>
              </w:rPr>
              <w:t xml:space="preserve">, regarding parameter </w:t>
            </w:r>
            <w:r w:rsidRPr="00295F09">
              <w:rPr>
                <w:i/>
                <w:sz w:val="20"/>
                <w:szCs w:val="20"/>
              </w:rPr>
              <w:t>Q</w:t>
            </w:r>
            <w:r w:rsidRPr="00295F09">
              <w:rPr>
                <w:sz w:val="20"/>
                <w:szCs w:val="20"/>
              </w:rPr>
              <w:t>, decide in RAN1#112 whether to support the additional values of 3 and/or 4</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sz w:val="20"/>
                <w:szCs w:val="20"/>
              </w:rPr>
            </w:pPr>
            <w:r w:rsidRPr="00295F09">
              <w:rPr>
                <w:sz w:val="20"/>
                <w:szCs w:val="20"/>
              </w:rPr>
              <w:t xml:space="preserve">For the Type-II codebook refinement for high/medium velocities, regarding the parameter </w:t>
            </w:r>
            <w:r w:rsidRPr="00295F09">
              <w:rPr>
                <w:i/>
                <w:iCs/>
                <w:sz w:val="20"/>
                <w:szCs w:val="20"/>
              </w:rPr>
              <w:t>δ</w:t>
            </w:r>
            <w:r w:rsidRPr="00295F09">
              <w:rPr>
                <w:sz w:val="20"/>
                <w:szCs w:val="20"/>
              </w:rPr>
              <w:t xml:space="preserve"> (in slots), support the additional value of 2</w:t>
            </w:r>
          </w:p>
          <w:p w:rsidR="008A18C8" w:rsidRPr="00295F09" w:rsidRDefault="008A18C8">
            <w:pPr>
              <w:numPr>
                <w:ilvl w:val="0"/>
                <w:numId w:val="30"/>
              </w:numPr>
              <w:rPr>
                <w:iCs/>
                <w:sz w:val="20"/>
                <w:szCs w:val="20"/>
              </w:rPr>
            </w:pPr>
            <w:r w:rsidRPr="00295F09">
              <w:rPr>
                <w:sz w:val="20"/>
                <w:szCs w:val="20"/>
              </w:rPr>
              <w:lastRenderedPageBreak/>
              <w:t>FFS (by RAN1#112): For the last supported additional value, down select between 1, 3, 4, and 5</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b/>
                <w:sz w:val="20"/>
                <w:szCs w:val="20"/>
              </w:rPr>
            </w:pPr>
            <w:r w:rsidRPr="00295F09">
              <w:rPr>
                <w:sz w:val="20"/>
                <w:szCs w:val="20"/>
              </w:rPr>
              <w:t xml:space="preserve">For the Type-II codebook refinement for high/medium velocities, regarding the parameter </w:t>
            </w:r>
            <w:r w:rsidRPr="00295F09">
              <w:rPr>
                <w:i/>
                <w:sz w:val="20"/>
                <w:szCs w:val="20"/>
              </w:rPr>
              <w:t>N</w:t>
            </w:r>
            <w:r w:rsidRPr="00295F09">
              <w:rPr>
                <w:sz w:val="20"/>
                <w:szCs w:val="20"/>
                <w:vertAlign w:val="subscript"/>
              </w:rPr>
              <w:t>4</w:t>
            </w:r>
            <w:r w:rsidRPr="00295F09">
              <w:rPr>
                <w:sz w:val="20"/>
                <w:szCs w:val="20"/>
              </w:rPr>
              <w:t xml:space="preserve"> (length of DFT vector, unit-less), support 8 as an additional candidate value</w:t>
            </w:r>
          </w:p>
          <w:p w:rsidR="008A18C8" w:rsidRPr="00295F09" w:rsidRDefault="008A18C8">
            <w:pPr>
              <w:pStyle w:val="ListParagraph"/>
              <w:numPr>
                <w:ilvl w:val="0"/>
                <w:numId w:val="31"/>
              </w:numPr>
              <w:suppressAutoHyphens/>
              <w:snapToGrid w:val="0"/>
              <w:ind w:leftChars="0"/>
              <w:rPr>
                <w:rFonts w:ascii="Times New Roman" w:hAnsi="Times New Roman"/>
                <w:b/>
                <w:szCs w:val="20"/>
              </w:rPr>
            </w:pPr>
            <w:r w:rsidRPr="00295F09">
              <w:rPr>
                <w:rFonts w:ascii="Times New Roman" w:hAnsi="Times New Roman"/>
                <w:szCs w:val="20"/>
              </w:rPr>
              <w:t>FFS (by RAN1#112): Whether any of the following additional candidate values are supported: 3, 5, 16, 32</w:t>
            </w:r>
          </w:p>
          <w:p w:rsidR="008A18C8" w:rsidRPr="00295F09" w:rsidRDefault="008A18C8">
            <w:pPr>
              <w:pStyle w:val="ListParagraph"/>
              <w:numPr>
                <w:ilvl w:val="0"/>
                <w:numId w:val="31"/>
              </w:numPr>
              <w:suppressAutoHyphens/>
              <w:snapToGrid w:val="0"/>
              <w:ind w:leftChars="0" w:left="714" w:hanging="357"/>
              <w:rPr>
                <w:rFonts w:ascii="Times New Roman" w:hAnsi="Times New Roman"/>
                <w:szCs w:val="20"/>
              </w:rPr>
            </w:pPr>
            <w:r w:rsidRPr="00295F09">
              <w:rPr>
                <w:rFonts w:ascii="Times New Roman" w:hAnsi="Times New Roman"/>
                <w:szCs w:val="20"/>
              </w:rPr>
              <w:t xml:space="preserve">The candidate values supported by UE are reported via UE capability (details can be discussed in UE feature). </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u w:val="single"/>
              </w:rPr>
              <w:t>Proposal 2.C.5</w:t>
            </w:r>
            <w:r w:rsidRPr="00295F09">
              <w:rPr>
                <w:sz w:val="20"/>
                <w:szCs w:val="20"/>
                <w:highlight w:val="green"/>
              </w:rPr>
              <w:t xml:space="preserve">: </w:t>
            </w:r>
          </w:p>
          <w:p w:rsidR="008A18C8" w:rsidRPr="00295F09" w:rsidRDefault="008A18C8" w:rsidP="008A18C8">
            <w:pPr>
              <w:snapToGrid w:val="0"/>
              <w:rPr>
                <w:sz w:val="20"/>
                <w:szCs w:val="20"/>
              </w:rPr>
            </w:pPr>
            <w:r w:rsidRPr="00295F09">
              <w:rPr>
                <w:sz w:val="20"/>
                <w:szCs w:val="20"/>
              </w:rPr>
              <w:t xml:space="preserve">For the Type-II codebook refinement for high/medium velocities, regarding the parameter </w:t>
            </w:r>
            <w:r w:rsidRPr="00295F09">
              <w:rPr>
                <w:i/>
                <w:iCs/>
                <w:sz w:val="20"/>
                <w:szCs w:val="20"/>
              </w:rPr>
              <w:t>d</w:t>
            </w:r>
            <w:r w:rsidRPr="00295F09">
              <w:rPr>
                <w:sz w:val="20"/>
                <w:szCs w:val="20"/>
              </w:rPr>
              <w:t xml:space="preserve"> (in slots), </w:t>
            </w:r>
          </w:p>
          <w:p w:rsidR="008A18C8" w:rsidRPr="00295F09" w:rsidRDefault="008A18C8">
            <w:pPr>
              <w:pStyle w:val="ListParagraph"/>
              <w:numPr>
                <w:ilvl w:val="0"/>
                <w:numId w:val="32"/>
              </w:numPr>
              <w:snapToGrid w:val="0"/>
              <w:ind w:leftChars="0"/>
              <w:contextualSpacing/>
              <w:rPr>
                <w:rFonts w:ascii="Times New Roman" w:hAnsi="Times New Roman"/>
                <w:szCs w:val="20"/>
              </w:rPr>
            </w:pPr>
            <w:r w:rsidRPr="00295F09">
              <w:rPr>
                <w:rFonts w:ascii="Times New Roman" w:hAnsi="Times New Roman"/>
                <w:szCs w:val="20"/>
              </w:rPr>
              <w:t xml:space="preserve">Support at least the following candidate value:  </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 xml:space="preserve">If the configured CMR is AP-CSI-RS, this candidate value is the configured value of </w:t>
            </w:r>
            <w:r w:rsidRPr="00295F09">
              <w:rPr>
                <w:rFonts w:ascii="Times New Roman" w:hAnsi="Times New Roman"/>
                <w:i/>
                <w:szCs w:val="20"/>
              </w:rPr>
              <w:t>m</w:t>
            </w:r>
            <w:r w:rsidRPr="00295F09">
              <w:rPr>
                <w:rFonts w:ascii="Times New Roman" w:hAnsi="Times New Roman"/>
                <w:szCs w:val="20"/>
              </w:rPr>
              <w:t xml:space="preserve"> parameter</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FFS: If the configured CMR is P/SP-CSI-RS</w:t>
            </w:r>
          </w:p>
          <w:p w:rsidR="008A18C8" w:rsidRPr="00295F09" w:rsidRDefault="008A18C8">
            <w:pPr>
              <w:pStyle w:val="ListParagraph"/>
              <w:numPr>
                <w:ilvl w:val="1"/>
                <w:numId w:val="32"/>
              </w:numPr>
              <w:snapToGrid w:val="0"/>
              <w:ind w:leftChars="0"/>
              <w:contextualSpacing/>
              <w:rPr>
                <w:rFonts w:ascii="Times New Roman" w:hAnsi="Times New Roman"/>
                <w:szCs w:val="20"/>
              </w:rPr>
            </w:pPr>
            <w:r w:rsidRPr="00295F09">
              <w:rPr>
                <w:rFonts w:ascii="Times New Roman" w:hAnsi="Times New Roman"/>
                <w:szCs w:val="20"/>
              </w:rPr>
              <w:t xml:space="preserve">FFS: Whether in the above two cases, the number of slots between the last CSI-RS occasion no later than the legacy reference resource and the starting of </w:t>
            </w:r>
            <w:r w:rsidRPr="00295F09">
              <w:rPr>
                <w:rFonts w:ascii="Times New Roman" w:hAnsi="Times New Roman"/>
                <w:i/>
                <w:szCs w:val="20"/>
              </w:rPr>
              <w:t>W</w:t>
            </w:r>
            <w:r w:rsidRPr="00295F09">
              <w:rPr>
                <w:rFonts w:ascii="Times New Roman" w:hAnsi="Times New Roman"/>
                <w:i/>
                <w:szCs w:val="20"/>
                <w:vertAlign w:val="subscript"/>
              </w:rPr>
              <w:t>CSI</w:t>
            </w:r>
            <w:r w:rsidRPr="00295F09">
              <w:rPr>
                <w:rFonts w:ascii="Times New Roman" w:hAnsi="Times New Roman"/>
                <w:szCs w:val="20"/>
              </w:rPr>
              <w:t xml:space="preserve"> window </w:t>
            </w:r>
            <w:r w:rsidRPr="00295F09">
              <w:rPr>
                <w:rFonts w:ascii="Times New Roman" w:eastAsia="Malgun Gothic" w:hAnsi="Times New Roman"/>
                <w:iCs/>
                <w:szCs w:val="20"/>
              </w:rPr>
              <w:t xml:space="preserve">shall be integer multiples of </w:t>
            </w:r>
            <w:r w:rsidRPr="00295F09">
              <w:rPr>
                <w:rFonts w:ascii="Times New Roman" w:eastAsia="Malgun Gothic" w:hAnsi="Times New Roman"/>
                <w:i/>
                <w:iCs/>
                <w:szCs w:val="20"/>
              </w:rPr>
              <w:t xml:space="preserve">d </w:t>
            </w:r>
            <w:r w:rsidRPr="00295F09">
              <w:rPr>
                <w:rFonts w:ascii="Times New Roman" w:eastAsia="Malgun Gothic" w:hAnsi="Times New Roman"/>
                <w:iCs/>
                <w:szCs w:val="20"/>
              </w:rPr>
              <w:t>slots.</w:t>
            </w:r>
          </w:p>
          <w:p w:rsidR="008A18C8" w:rsidRPr="00295F09" w:rsidRDefault="008A18C8">
            <w:pPr>
              <w:pStyle w:val="ListParagraph"/>
              <w:numPr>
                <w:ilvl w:val="0"/>
                <w:numId w:val="32"/>
              </w:numPr>
              <w:snapToGrid w:val="0"/>
              <w:ind w:leftChars="0"/>
              <w:contextualSpacing/>
              <w:rPr>
                <w:rFonts w:ascii="Times New Roman" w:hAnsi="Times New Roman"/>
                <w:szCs w:val="20"/>
              </w:rPr>
            </w:pPr>
            <w:r w:rsidRPr="00295F09">
              <w:rPr>
                <w:rFonts w:ascii="Times New Roman" w:hAnsi="Times New Roman"/>
                <w:szCs w:val="20"/>
              </w:rPr>
              <w:t xml:space="preserve">FFS: Whether additional candidate value(s) of </w:t>
            </w:r>
            <w:r w:rsidRPr="00295F09">
              <w:rPr>
                <w:rFonts w:ascii="Times New Roman" w:hAnsi="Times New Roman"/>
                <w:i/>
                <w:szCs w:val="20"/>
              </w:rPr>
              <w:t>d</w:t>
            </w:r>
            <w:r w:rsidRPr="00295F09">
              <w:rPr>
                <w:rFonts w:ascii="Times New Roman" w:hAnsi="Times New Roman"/>
                <w:szCs w:val="20"/>
              </w:rPr>
              <w:t xml:space="preserve"> are supported, e.g. </w:t>
            </w:r>
            <w:r w:rsidRPr="00295F09">
              <w:rPr>
                <w:rFonts w:ascii="Times New Roman" w:hAnsi="Times New Roman"/>
                <w:i/>
                <w:szCs w:val="20"/>
              </w:rPr>
              <w:t>d</w:t>
            </w:r>
            <w:r w:rsidRPr="00295F09">
              <w:rPr>
                <w:rFonts w:ascii="Times New Roman" w:hAnsi="Times New Roman"/>
                <w:szCs w:val="20"/>
              </w:rPr>
              <w:t>&lt;</w:t>
            </w:r>
            <w:r w:rsidRPr="00295F09">
              <w:rPr>
                <w:rFonts w:ascii="Times New Roman" w:hAnsi="Times New Roman"/>
                <w:i/>
                <w:szCs w:val="20"/>
              </w:rPr>
              <w:t>m</w:t>
            </w:r>
            <w:r w:rsidRPr="00295F09">
              <w:rPr>
                <w:rFonts w:ascii="Times New Roman" w:hAnsi="Times New Roman"/>
                <w:szCs w:val="20"/>
              </w:rPr>
              <w:t xml:space="preserve">, </w:t>
            </w:r>
            <w:r w:rsidRPr="00295F09">
              <w:rPr>
                <w:rFonts w:ascii="Times New Roman" w:hAnsi="Times New Roman"/>
                <w:i/>
                <w:szCs w:val="20"/>
              </w:rPr>
              <w:t>d</w:t>
            </w:r>
            <w:r w:rsidRPr="00295F09">
              <w:rPr>
                <w:rFonts w:ascii="Times New Roman" w:hAnsi="Times New Roman"/>
                <w:szCs w:val="20"/>
              </w:rPr>
              <w:t>&gt;</w:t>
            </w:r>
            <w:r w:rsidRPr="00295F09">
              <w:rPr>
                <w:rFonts w:ascii="Times New Roman" w:hAnsi="Times New Roman"/>
                <w:i/>
                <w:szCs w:val="20"/>
              </w:rPr>
              <w:t>m</w:t>
            </w:r>
            <w:r w:rsidRPr="00295F09">
              <w:rPr>
                <w:rFonts w:ascii="Times New Roman" w:hAnsi="Times New Roman"/>
                <w:szCs w:val="20"/>
              </w:rPr>
              <w:t>,</w:t>
            </w:r>
            <w:r w:rsidRPr="00295F09">
              <w:rPr>
                <w:rFonts w:ascii="Times New Roman" w:hAnsi="Times New Roman"/>
                <w:i/>
                <w:iCs/>
                <w:szCs w:val="20"/>
              </w:rPr>
              <w:t xml:space="preserve"> d=1</w:t>
            </w:r>
          </w:p>
          <w:p w:rsidR="008A18C8" w:rsidRPr="00295F09" w:rsidRDefault="008A18C8" w:rsidP="008A18C8">
            <w:pPr>
              <w:snapToGrid w:val="0"/>
              <w:rPr>
                <w:sz w:val="20"/>
                <w:szCs w:val="20"/>
              </w:rPr>
            </w:pPr>
            <w:r w:rsidRPr="00295F09">
              <w:rPr>
                <w:sz w:val="20"/>
                <w:szCs w:val="20"/>
              </w:rPr>
              <w:t xml:space="preserve">If more than one candidate values of </w:t>
            </w:r>
            <w:r w:rsidRPr="00295F09">
              <w:rPr>
                <w:i/>
                <w:sz w:val="20"/>
                <w:szCs w:val="20"/>
              </w:rPr>
              <w:t>d</w:t>
            </w:r>
            <w:r w:rsidRPr="00295F09">
              <w:rPr>
                <w:sz w:val="20"/>
                <w:szCs w:val="20"/>
              </w:rPr>
              <w:t xml:space="preserve"> are supported, the value of </w:t>
            </w:r>
            <w:r w:rsidRPr="00295F09">
              <w:rPr>
                <w:i/>
                <w:sz w:val="20"/>
                <w:szCs w:val="20"/>
              </w:rPr>
              <w:t>d</w:t>
            </w:r>
            <w:r w:rsidRPr="00295F09">
              <w:rPr>
                <w:sz w:val="20"/>
                <w:szCs w:val="20"/>
              </w:rPr>
              <w:t xml:space="preserve"> is gNB-configured via higher-layer (RRC) signalling </w:t>
            </w:r>
          </w:p>
          <w:p w:rsidR="008A18C8" w:rsidRPr="00295F09" w:rsidRDefault="008A18C8" w:rsidP="008A18C8">
            <w:pPr>
              <w:rPr>
                <w:iCs/>
                <w:sz w:val="20"/>
                <w:szCs w:val="20"/>
              </w:rPr>
            </w:pPr>
          </w:p>
          <w:p w:rsidR="008A18C8" w:rsidRPr="00295F09" w:rsidRDefault="008A18C8" w:rsidP="008A18C8">
            <w:pPr>
              <w:widowControl w:val="0"/>
              <w:snapToGrid w:val="0"/>
              <w:jc w:val="both"/>
              <w:rPr>
                <w:b/>
                <w:sz w:val="20"/>
                <w:szCs w:val="20"/>
              </w:rPr>
            </w:pPr>
            <w:r w:rsidRPr="00295F09">
              <w:rPr>
                <w:b/>
                <w:sz w:val="20"/>
                <w:szCs w:val="20"/>
              </w:rPr>
              <w:t>Conclusion</w:t>
            </w:r>
          </w:p>
          <w:p w:rsidR="008A18C8" w:rsidRPr="00295F09" w:rsidRDefault="008A18C8" w:rsidP="008A18C8">
            <w:pPr>
              <w:widowControl w:val="0"/>
              <w:snapToGrid w:val="0"/>
              <w:jc w:val="both"/>
              <w:rPr>
                <w:sz w:val="20"/>
                <w:szCs w:val="20"/>
              </w:rPr>
            </w:pPr>
            <w:r w:rsidRPr="00295F09">
              <w:rPr>
                <w:sz w:val="20"/>
                <w:szCs w:val="20"/>
              </w:rPr>
              <w:t xml:space="preserve">For the Type-II codebook refinement for high/medium velocities, regarding the parameter </w:t>
            </w:r>
            <w:r w:rsidRPr="00295F09">
              <w:rPr>
                <w:i/>
                <w:sz w:val="20"/>
                <w:szCs w:val="20"/>
              </w:rPr>
              <w:t>m</w:t>
            </w:r>
            <w:r w:rsidRPr="00295F09">
              <w:rPr>
                <w:sz w:val="20"/>
                <w:szCs w:val="20"/>
              </w:rPr>
              <w:t xml:space="preserve"> (offset between two AP-CSI-RS resources for the CMR, there is no consensus in supporting additional candidate value(s).</w:t>
            </w:r>
          </w:p>
          <w:p w:rsidR="008A18C8" w:rsidRPr="00295F09" w:rsidRDefault="008A18C8" w:rsidP="008A18C8">
            <w:pPr>
              <w:rPr>
                <w:iCs/>
                <w:sz w:val="20"/>
                <w:szCs w:val="20"/>
              </w:rPr>
            </w:pPr>
          </w:p>
          <w:p w:rsidR="008A18C8" w:rsidRPr="00295F09" w:rsidRDefault="008A18C8" w:rsidP="008A18C8">
            <w:pPr>
              <w:snapToGrid w:val="0"/>
              <w:rPr>
                <w:sz w:val="20"/>
                <w:szCs w:val="20"/>
                <w:highlight w:val="green"/>
              </w:rPr>
            </w:pPr>
            <w:r w:rsidRPr="00295F09">
              <w:rPr>
                <w:b/>
                <w:sz w:val="20"/>
                <w:szCs w:val="20"/>
                <w:highlight w:val="green"/>
              </w:rPr>
              <w:t>Agreement</w:t>
            </w:r>
          </w:p>
          <w:p w:rsidR="008A18C8" w:rsidRPr="00295F09" w:rsidRDefault="008A18C8" w:rsidP="008A18C8">
            <w:pPr>
              <w:snapToGrid w:val="0"/>
              <w:rPr>
                <w:color w:val="000000"/>
                <w:sz w:val="20"/>
                <w:szCs w:val="20"/>
              </w:rPr>
            </w:pPr>
            <w:r w:rsidRPr="00295F09">
              <w:rPr>
                <w:color w:val="000000"/>
                <w:sz w:val="20"/>
                <w:szCs w:val="20"/>
              </w:rPr>
              <w:t xml:space="preserve">On the Type-II codebook refinement for CJT mTRP, regarding the SD basis selection, for a configured value of </w:t>
            </w:r>
            <w:r w:rsidRPr="00295F09">
              <w:rPr>
                <w:i/>
                <w:color w:val="000000"/>
                <w:sz w:val="20"/>
                <w:szCs w:val="20"/>
              </w:rPr>
              <w:t>N</w:t>
            </w:r>
            <w:r w:rsidRPr="00295F09">
              <w:rPr>
                <w:i/>
                <w:color w:val="000000"/>
                <w:sz w:val="20"/>
                <w:szCs w:val="20"/>
                <w:vertAlign w:val="subscript"/>
              </w:rPr>
              <w:t>TRP</w:t>
            </w:r>
            <w:r w:rsidRPr="00295F09">
              <w:rPr>
                <w:color w:val="000000"/>
                <w:sz w:val="20"/>
                <w:szCs w:val="20"/>
              </w:rPr>
              <w:t xml:space="preserve">, a set of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is gNB-configured via higher-layer (RRC) signaling</w:t>
            </w:r>
          </w:p>
          <w:p w:rsidR="008A18C8" w:rsidRPr="00295F09" w:rsidRDefault="008A18C8">
            <w:pPr>
              <w:numPr>
                <w:ilvl w:val="0"/>
                <w:numId w:val="34"/>
              </w:numPr>
              <w:snapToGrid w:val="0"/>
              <w:rPr>
                <w:color w:val="000000"/>
                <w:sz w:val="20"/>
                <w:szCs w:val="20"/>
              </w:rPr>
            </w:pPr>
            <w:r w:rsidRPr="00295F09">
              <w:rPr>
                <w:color w:val="000000"/>
                <w:sz w:val="20"/>
                <w:szCs w:val="20"/>
              </w:rPr>
              <w:t xml:space="preserve">When </w:t>
            </w:r>
            <w:r w:rsidRPr="00295F09">
              <w:rPr>
                <w:i/>
                <w:color w:val="000000"/>
                <w:sz w:val="20"/>
                <w:szCs w:val="20"/>
              </w:rPr>
              <w:t>N</w:t>
            </w:r>
            <w:r w:rsidRPr="00295F09">
              <w:rPr>
                <w:i/>
                <w:color w:val="000000"/>
                <w:sz w:val="20"/>
                <w:szCs w:val="20"/>
                <w:vertAlign w:val="subscript"/>
              </w:rPr>
              <w:t>L</w:t>
            </w:r>
            <w:r w:rsidRPr="00295F09">
              <w:rPr>
                <w:color w:val="000000"/>
                <w:sz w:val="20"/>
                <w:szCs w:val="20"/>
              </w:rPr>
              <w:t>&gt;1, the selected combination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xml:space="preserve">} is reported in CSI part 1 using an indicator, selected from the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configured combinations</w:t>
            </w:r>
          </w:p>
          <w:p w:rsidR="008A18C8" w:rsidRPr="00295F09" w:rsidRDefault="008A18C8">
            <w:pPr>
              <w:numPr>
                <w:ilvl w:val="1"/>
                <w:numId w:val="34"/>
              </w:numPr>
              <w:snapToGrid w:val="0"/>
              <w:rPr>
                <w:color w:val="000000"/>
                <w:sz w:val="20"/>
                <w:szCs w:val="20"/>
              </w:rPr>
            </w:pP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=1 is one of the supported candidate values </w:t>
            </w:r>
          </w:p>
          <w:p w:rsidR="008A18C8" w:rsidRPr="00295F09" w:rsidRDefault="008A18C8">
            <w:pPr>
              <w:numPr>
                <w:ilvl w:val="1"/>
                <w:numId w:val="34"/>
              </w:numPr>
              <w:snapToGrid w:val="0"/>
              <w:rPr>
                <w:color w:val="000000"/>
                <w:sz w:val="20"/>
                <w:szCs w:val="20"/>
              </w:rPr>
            </w:pPr>
            <w:r w:rsidRPr="00295F09">
              <w:rPr>
                <w:color w:val="000000"/>
                <w:sz w:val="20"/>
                <w:szCs w:val="20"/>
              </w:rPr>
              <w:t xml:space="preserve">FFS: Other supported value(s) of </w:t>
            </w:r>
            <w:r w:rsidRPr="00295F09">
              <w:rPr>
                <w:i/>
                <w:color w:val="000000"/>
                <w:sz w:val="20"/>
                <w:szCs w:val="20"/>
              </w:rPr>
              <w:t>N</w:t>
            </w:r>
            <w:r w:rsidRPr="00295F09">
              <w:rPr>
                <w:i/>
                <w:color w:val="000000"/>
                <w:sz w:val="20"/>
                <w:szCs w:val="20"/>
                <w:vertAlign w:val="subscript"/>
              </w:rPr>
              <w:t>L</w:t>
            </w:r>
            <w:r w:rsidRPr="00295F09">
              <w:rPr>
                <w:i/>
                <w:color w:val="000000"/>
                <w:sz w:val="20"/>
                <w:szCs w:val="20"/>
              </w:rPr>
              <w:t>,</w:t>
            </w:r>
            <w:r w:rsidRPr="00295F09">
              <w:rPr>
                <w:color w:val="000000"/>
                <w:sz w:val="20"/>
                <w:szCs w:val="20"/>
              </w:rPr>
              <w:t xml:space="preserve"> and its respective UE capability</w:t>
            </w:r>
          </w:p>
          <w:p w:rsidR="008A18C8" w:rsidRPr="00295F09" w:rsidRDefault="008A18C8">
            <w:pPr>
              <w:numPr>
                <w:ilvl w:val="1"/>
                <w:numId w:val="34"/>
              </w:numPr>
              <w:snapToGrid w:val="0"/>
              <w:rPr>
                <w:color w:val="000000"/>
                <w:sz w:val="20"/>
                <w:szCs w:val="20"/>
              </w:rPr>
            </w:pPr>
            <w:r w:rsidRPr="00295F09">
              <w:rPr>
                <w:color w:val="000000"/>
                <w:sz w:val="20"/>
                <w:szCs w:val="20"/>
              </w:rPr>
              <w:t>FFS: The supported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w:t>
            </w:r>
          </w:p>
          <w:p w:rsidR="008A18C8" w:rsidRPr="00295F09" w:rsidRDefault="008A18C8">
            <w:pPr>
              <w:numPr>
                <w:ilvl w:val="0"/>
                <w:numId w:val="33"/>
              </w:numPr>
              <w:snapToGrid w:val="0"/>
              <w:rPr>
                <w:color w:val="000000"/>
                <w:sz w:val="20"/>
                <w:szCs w:val="20"/>
              </w:rPr>
            </w:pPr>
            <w:r w:rsidRPr="00295F09">
              <w:rPr>
                <w:color w:val="000000"/>
                <w:sz w:val="20"/>
                <w:szCs w:val="20"/>
              </w:rPr>
              <w:t xml:space="preserve">Following the legacy design, the SD basis selection for the </w:t>
            </w:r>
            <w:r w:rsidRPr="00295F09">
              <w:rPr>
                <w:i/>
                <w:color w:val="000000"/>
                <w:sz w:val="20"/>
                <w:szCs w:val="20"/>
              </w:rPr>
              <w:t>n</w:t>
            </w:r>
            <w:r w:rsidRPr="00295F09">
              <w:rPr>
                <w:color w:val="000000"/>
                <w:sz w:val="20"/>
                <w:szCs w:val="20"/>
              </w:rPr>
              <w:t>-th (</w:t>
            </w:r>
            <w:r w:rsidRPr="00295F09">
              <w:rPr>
                <w:i/>
                <w:color w:val="000000"/>
                <w:sz w:val="20"/>
                <w:szCs w:val="20"/>
              </w:rPr>
              <w:t>n</w:t>
            </w:r>
            <w:r w:rsidRPr="00295F09">
              <w:rPr>
                <w:color w:val="000000"/>
                <w:sz w:val="20"/>
                <w:szCs w:val="20"/>
              </w:rPr>
              <w:t>=1,...,</w:t>
            </w:r>
            <w:r w:rsidRPr="00295F09">
              <w:rPr>
                <w:i/>
                <w:color w:val="000000"/>
                <w:sz w:val="20"/>
                <w:szCs w:val="20"/>
              </w:rPr>
              <w:t>N</w:t>
            </w:r>
            <w:r w:rsidRPr="00295F09">
              <w:rPr>
                <w:color w:val="000000"/>
                <w:sz w:val="20"/>
                <w:szCs w:val="20"/>
              </w:rPr>
              <w:t xml:space="preserve">) selected CSI-RS resource is indicated in CSI part 2 using a combinatorial indicator selected from a set of  </w:t>
            </w:r>
            <w:r w:rsidRPr="00295F09">
              <w:rPr>
                <w:color w:val="000000"/>
                <w:sz w:val="20"/>
                <w:szCs w:val="20"/>
              </w:rPr>
              <w:fldChar w:fldCharType="begin"/>
            </w:r>
            <w:r w:rsidRPr="00295F09">
              <w:rPr>
                <w:color w:val="000000"/>
                <w:sz w:val="20"/>
                <w:szCs w:val="20"/>
              </w:rPr>
              <w:instrText xml:space="preserve"> QUOTE </w:instrText>
            </w:r>
            <w:r w:rsidR="003F2720">
              <w:rPr>
                <w:noProof/>
                <w:color w:val="000000"/>
                <w:position w:val="-15"/>
                <w:sz w:val="20"/>
                <w:szCs w:val="20"/>
              </w:rPr>
              <w:pict>
                <v:shape id="_x0000_i1038" type="#_x0000_t75" alt="" style="width:46.35pt;height:21.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370F3&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B370F3&quot; wsp:rsidP=&quot;00B370F3&quot;&gt;&lt;m:oMathPara&gt;&lt;m:oMath&gt;&lt;m:d&gt;&lt;m:dPr&gt;&lt;m:ctrlPr&gt;&lt;w:rPr&gt;&lt;w:rFonts w:ascii=&quot;Cambria Math&quot; w:h-ansi=&quot;Cambria Math&quot; w:cs=&quot;Times&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 w:cs=&quot;Times&quot;/&gt;&lt;wx:font wx:val=&quot;Cambria Math&quot;/&gt;&lt;w:i/&gt;&lt;w:sz w:val=&quot;18&quot;/&gt;&lt;w:sz-cs w:val=&quot;20&quot;/&gt;&lt;/w:rPr&gt;&lt;/m:ctrlPr&gt;&lt;/m:mP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e&gt;&lt;/m:m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95F09">
              <w:rPr>
                <w:color w:val="000000"/>
                <w:sz w:val="20"/>
                <w:szCs w:val="20"/>
              </w:rPr>
              <w:instrText xml:space="preserve"> </w:instrText>
            </w:r>
            <w:r w:rsidRPr="00295F09">
              <w:rPr>
                <w:color w:val="000000"/>
                <w:sz w:val="20"/>
                <w:szCs w:val="20"/>
              </w:rPr>
              <w:fldChar w:fldCharType="separate"/>
            </w:r>
            <w:r w:rsidR="003F2720">
              <w:rPr>
                <w:noProof/>
                <w:color w:val="000000"/>
                <w:position w:val="-15"/>
                <w:sz w:val="20"/>
                <w:szCs w:val="20"/>
              </w:rPr>
              <w:pict>
                <v:shape id="_x0000_i1037" type="#_x0000_t75" alt="" style="width:46.35pt;height:21.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370F3&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B370F3&quot; wsp:rsidP=&quot;00B370F3&quot;&gt;&lt;m:oMathPara&gt;&lt;m:oMath&gt;&lt;m:d&gt;&lt;m:dPr&gt;&lt;m:ctrlPr&gt;&lt;w:rPr&gt;&lt;w:rFonts w:ascii=&quot;Cambria Math&quot; w:h-ansi=&quot;Cambria Math&quot; w:cs=&quot;Times&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 w:cs=&quot;Times&quot;/&gt;&lt;wx:font wx:val=&quot;Cambria Math&quot;/&gt;&lt;w:i/&gt;&lt;w:sz w:val=&quot;18&quot;/&gt;&lt;w:sz-cs w:val=&quot;20&quot;/&gt;&lt;/w:rPr&gt;&lt;/m:ctrlPr&gt;&lt;/m:mP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e&gt;&lt;/m:mr&gt;&lt;m:mr&gt;&lt;m:e&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95F09">
              <w:rPr>
                <w:color w:val="000000"/>
                <w:sz w:val="20"/>
                <w:szCs w:val="20"/>
              </w:rPr>
              <w:fldChar w:fldCharType="end"/>
            </w:r>
            <w:r w:rsidRPr="00295F09">
              <w:rPr>
                <w:color w:val="000000"/>
                <w:sz w:val="20"/>
                <w:szCs w:val="20"/>
              </w:rPr>
              <w:t xml:space="preserve"> codepoints where, for Rel-16-based refinement </w:t>
            </w:r>
            <w:r w:rsidRPr="00295F09">
              <w:rPr>
                <w:i/>
                <w:color w:val="000000"/>
                <w:sz w:val="20"/>
                <w:szCs w:val="20"/>
              </w:rPr>
              <w:t>P</w:t>
            </w:r>
            <w:r w:rsidRPr="00295F09">
              <w:rPr>
                <w:i/>
                <w:color w:val="000000"/>
                <w:sz w:val="20"/>
                <w:szCs w:val="20"/>
                <w:vertAlign w:val="subscript"/>
              </w:rPr>
              <w:t xml:space="preserve">CSI-RS </w:t>
            </w:r>
            <w:r w:rsidRPr="00295F09">
              <w:rPr>
                <w:color w:val="000000"/>
                <w:sz w:val="20"/>
                <w:szCs w:val="20"/>
              </w:rPr>
              <w:t>= 2*</w:t>
            </w:r>
            <w:r w:rsidRPr="00295F09">
              <w:rPr>
                <w:i/>
                <w:color w:val="000000"/>
                <w:sz w:val="20"/>
                <w:szCs w:val="20"/>
              </w:rPr>
              <w:t>N</w:t>
            </w:r>
            <w:r w:rsidRPr="00295F09">
              <w:rPr>
                <w:color w:val="000000"/>
                <w:sz w:val="20"/>
                <w:szCs w:val="20"/>
                <w:vertAlign w:val="subscript"/>
              </w:rPr>
              <w:t>1</w:t>
            </w:r>
            <w:r w:rsidRPr="00295F09">
              <w:rPr>
                <w:i/>
                <w:color w:val="000000"/>
                <w:sz w:val="20"/>
                <w:szCs w:val="20"/>
              </w:rPr>
              <w:t>N</w:t>
            </w:r>
            <w:r w:rsidRPr="00295F09">
              <w:rPr>
                <w:color w:val="000000"/>
                <w:sz w:val="20"/>
                <w:szCs w:val="20"/>
                <w:vertAlign w:val="subscript"/>
              </w:rPr>
              <w:t>2</w:t>
            </w:r>
            <w:r w:rsidRPr="00295F09">
              <w:rPr>
                <w:color w:val="000000"/>
                <w:sz w:val="20"/>
                <w:szCs w:val="20"/>
              </w:rPr>
              <w:t>.</w:t>
            </w:r>
          </w:p>
          <w:p w:rsidR="008A18C8" w:rsidRPr="00295F09" w:rsidRDefault="008A18C8">
            <w:pPr>
              <w:numPr>
                <w:ilvl w:val="0"/>
                <w:numId w:val="33"/>
              </w:numPr>
              <w:snapToGrid w:val="0"/>
              <w:rPr>
                <w:color w:val="000000"/>
                <w:sz w:val="20"/>
                <w:szCs w:val="20"/>
              </w:rPr>
            </w:pPr>
            <w:r w:rsidRPr="00295F09">
              <w:rPr>
                <w:color w:val="000000"/>
                <w:sz w:val="20"/>
                <w:szCs w:val="20"/>
              </w:rPr>
              <w:t xml:space="preserve">The supported candidate values for each of the </w:t>
            </w:r>
            <w:r w:rsidRPr="00295F09">
              <w:rPr>
                <w:i/>
                <w:color w:val="000000"/>
                <w:sz w:val="20"/>
                <w:szCs w:val="20"/>
              </w:rPr>
              <w:t>L</w:t>
            </w:r>
            <w:r w:rsidRPr="00295F09">
              <w:rPr>
                <w:color w:val="000000"/>
                <w:sz w:val="20"/>
                <w:szCs w:val="20"/>
                <w:vertAlign w:val="subscript"/>
              </w:rPr>
              <w:t>n</w:t>
            </w:r>
            <w:r w:rsidRPr="00295F09" w:rsidDel="001C3674">
              <w:rPr>
                <w:color w:val="000000"/>
                <w:sz w:val="20"/>
                <w:szCs w:val="20"/>
              </w:rPr>
              <w:t xml:space="preserve"> </w:t>
            </w:r>
            <w:r w:rsidRPr="00295F09">
              <w:rPr>
                <w:color w:val="000000"/>
                <w:sz w:val="20"/>
                <w:szCs w:val="20"/>
              </w:rPr>
              <w:t xml:space="preserve">parameters include the legacy candidate values, i.e. {2,4,6} for Rel-16-based refinement, and </w:t>
            </w:r>
          </w:p>
          <w:p w:rsidR="008A18C8" w:rsidRPr="00295F09" w:rsidRDefault="008A18C8">
            <w:pPr>
              <w:numPr>
                <w:ilvl w:val="1"/>
                <w:numId w:val="33"/>
              </w:numPr>
              <w:snapToGrid w:val="0"/>
              <w:rPr>
                <w:color w:val="000000"/>
                <w:sz w:val="20"/>
                <w:szCs w:val="20"/>
              </w:rPr>
            </w:pPr>
            <w:r w:rsidRPr="00295F09">
              <w:rPr>
                <w:color w:val="000000"/>
                <w:sz w:val="20"/>
                <w:szCs w:val="20"/>
              </w:rPr>
              <w:t>for Rel-17-based refinement, the gNB configures a set of N_L combinations for {</w:t>
            </w:r>
            <w:r w:rsidRPr="00295F09">
              <w:rPr>
                <w:i/>
                <w:color w:val="000000"/>
                <w:sz w:val="20"/>
                <w:szCs w:val="20"/>
              </w:rPr>
              <w:t>alpha</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alpha</w:t>
            </w:r>
            <w:r w:rsidRPr="00295F09">
              <w:rPr>
                <w:i/>
                <w:color w:val="000000"/>
                <w:sz w:val="20"/>
                <w:szCs w:val="20"/>
                <w:vertAlign w:val="subscript"/>
              </w:rPr>
              <w:t>NTRP</w:t>
            </w:r>
            <w:r w:rsidRPr="00295F09">
              <w:rPr>
                <w:color w:val="000000"/>
                <w:sz w:val="20"/>
                <w:szCs w:val="20"/>
              </w:rPr>
              <w:t xml:space="preserve">}  </w:t>
            </w:r>
            <w:r w:rsidRPr="00295F09">
              <w:rPr>
                <w:color w:val="000000"/>
                <w:sz w:val="20"/>
                <w:szCs w:val="20"/>
              </w:rPr>
              <w:fldChar w:fldCharType="begin"/>
            </w:r>
            <w:r w:rsidRPr="00295F09">
              <w:rPr>
                <w:color w:val="000000"/>
                <w:sz w:val="20"/>
                <w:szCs w:val="20"/>
              </w:rPr>
              <w:instrText xml:space="preserve"> QUOTE </w:instrText>
            </w:r>
            <w:r w:rsidR="003F2720">
              <w:rPr>
                <w:noProof/>
                <w:color w:val="000000"/>
                <w:position w:val="-4"/>
                <w:sz w:val="20"/>
                <w:szCs w:val="20"/>
              </w:rPr>
              <w:pict>
                <v:shape id="_x0000_i1036" type="#_x0000_t75" alt="" style="width:68.8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40F1&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FA40F1&quot; wsp:rsidP=&quot;00FA40F1&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95F09">
              <w:rPr>
                <w:color w:val="000000"/>
                <w:sz w:val="20"/>
                <w:szCs w:val="20"/>
              </w:rPr>
              <w:instrText xml:space="preserve"> </w:instrText>
            </w:r>
            <w:r w:rsidRPr="00295F09">
              <w:rPr>
                <w:color w:val="000000"/>
                <w:sz w:val="20"/>
                <w:szCs w:val="20"/>
              </w:rPr>
              <w:fldChar w:fldCharType="separate"/>
            </w:r>
            <w:r w:rsidR="003F2720">
              <w:rPr>
                <w:noProof/>
                <w:color w:val="000000"/>
                <w:position w:val="-4"/>
                <w:sz w:val="20"/>
                <w:szCs w:val="20"/>
              </w:rPr>
              <w:pict>
                <v:shape id="_x0000_i1035" type="#_x0000_t75" alt="" style="width:68.8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40F1&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FA40F1&quot; wsp:rsidP=&quot;00FA40F1&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L&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P&lt;/m:t&gt;&lt;/m:r&gt;&lt;/m:e&gt;&lt;m:sub&gt;&lt;m:r&gt;&lt;w:rPr&gt;&lt;w:rFonts w:ascii=&quot;Cambria Math&quot; w:h-ansi=&quot;Cambria Math&quot; w:cs=&quot;Times&quot;/&gt;&lt;wx:font wx:val=&quot;Cambria Math&quot;/&gt;&lt;w:i/&gt;&lt;w:sz w:val=&quot;18&quot;/&gt;&lt;w:sz-cs w:val=&quot;20&quot;/&gt;&lt;/w:rPr&gt;&lt;m:t&gt;CSI-RS&lt;/m:t&gt;&lt;/m:r&gt;&lt;/m:sub&gt;&lt;/m:sSub&gt;&lt;m:r&gt;&lt;w:rPr&gt;&lt;w:rFonts w:ascii=&quot;Cambria Math&quot; w:h-ansi=&quot;Cambria Math&quot; w:cs=&quot;Times&quot;/&gt;&lt;wx:font wx:val=&quot;Cambria Math&quot;/&gt;&lt;w:i/&gt;&lt;w:sz w:val=&quot;18&quot;/&gt;&lt;w:sz-cs w:val=&quot;20&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295F09">
              <w:rPr>
                <w:color w:val="000000"/>
                <w:sz w:val="20"/>
                <w:szCs w:val="20"/>
              </w:rPr>
              <w:fldChar w:fldCharType="end"/>
            </w:r>
            <w:r w:rsidRPr="00295F09">
              <w:rPr>
                <w:color w:val="000000"/>
                <w:sz w:val="20"/>
                <w:szCs w:val="20"/>
              </w:rPr>
              <w:t xml:space="preserve"> where </w:t>
            </w:r>
            <w:r w:rsidRPr="00295F09">
              <w:rPr>
                <w:color w:val="000000"/>
                <w:sz w:val="20"/>
                <w:szCs w:val="20"/>
              </w:rPr>
              <w:fldChar w:fldCharType="begin"/>
            </w:r>
            <w:r w:rsidRPr="00295F09">
              <w:rPr>
                <w:color w:val="000000"/>
                <w:sz w:val="20"/>
                <w:szCs w:val="20"/>
              </w:rPr>
              <w:instrText xml:space="preserve"> QUOTE </w:instrText>
            </w:r>
            <w:r w:rsidR="003F2720">
              <w:rPr>
                <w:noProof/>
                <w:color w:val="000000"/>
                <w:position w:val="-10"/>
                <w:sz w:val="20"/>
                <w:szCs w:val="20"/>
              </w:rPr>
              <w:pict>
                <v:shape id="_x0000_i1034" type="#_x0000_t75" alt="" style="width:50.7pt;height:16.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37F8&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1837F8&quot; wsp:rsidP=&quot;001837F8&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d&gt;&lt;m:dPr&gt;&lt;m:begChr m:val=&quot;{&quot;/&gt;&lt;m:endChr m:val=&quot;}&quot;/&gt;&lt;m:ctrlPr&gt;&lt;w:rPr&gt;&lt;w:rFonts w:ascii=&quot;Cambria Math&quot; w:h-ansi=&quot;Cambria Math&quot; w:cs=&quot;Times&quot;/&gt;&lt;wx:font wx:val=&quot;Cambria Math&quot;/&gt;&lt;w:i/&gt;&lt;w:sz w:val=&quot;18&quot;/&gt;&lt;w:sz-cs w:val=&quot;20&quot;/&gt;&lt;/w:rPr&gt;&lt;/m:ctrlPr&gt;&lt;/m:dPr&gt;&lt;m:e&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1&lt;/m:t&gt;&lt;/m:r&gt;&lt;/m:num&gt;&lt;m:den&gt;&lt;m:r&gt;&lt;w:rPr&gt;&lt;w:rFonts w:ascii=&quot;Cambria Math&quot; w:h-ansi=&quot;Cambria Math&quot; w:cs=&quot;Times&quot;/&gt;&lt;wx:font wx:val=&quot;Cambria Math&quot;/&gt;&lt;w:i/&gt;&lt;w:sz w:val=&quot;18&quot;/&gt;&lt;w:sz-cs w:val=&quot;20&quot;/&gt;&lt;/w:rPr&gt;&lt;m:t&gt;2&lt;/m:t&gt;&lt;/m:r&gt;&lt;/m:den&gt;&lt;/m:f&gt;&lt;m:r&gt;&lt;w:rPr&gt;&lt;w:rFonts w:ascii=&quot;Cambria Math&quot; w:h-ansi=&quot;Cambria Math&quot; w:cs=&quot;Times&quot;/&gt;&lt;wx:font wx:val=&quot;Cambria Math&quot;/&gt;&lt;w:i/&gt;&lt;w:sz w:val=&quot;18&quot;/&gt;&lt;w:sz-cs w:val=&quot;20&quot;/&gt;&lt;/w:rPr&gt;&lt;m:t&gt;,&lt;/m:t&gt;&lt;/m:r&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3&lt;/m:t&gt;&lt;/m:r&gt;&lt;/m:num&gt;&lt;m:den&gt;&lt;m:r&gt;&lt;w:rPr&gt;&lt;w:rFonts w:ascii=&quot;Cambria Math&quot; w:h-ansi=&quot;Cambria Math&quot; w:cs=&quot;Times&quot;/&gt;&lt;wx:font wx:val=&quot;Cambria Math&quot;/&gt;&lt;w:i/&gt;&lt;w:sz w:val=&quot;18&quot;/&gt;&lt;w:sz-cs w:val=&quot;20&quot;/&gt;&lt;/w:rPr&gt;&lt;m:t&gt;4&lt;/m:t&gt;&lt;/m:r&gt;&lt;/m:den&gt;&lt;/m:f&gt;&lt;m:r&gt;&lt;w:rPr&gt;&lt;w:rFonts w:ascii=&quot;Cambria Math&quot; w:h-ansi=&quot;Cambria Math&quot; w:cs=&quot;Times&quot;/&gt;&lt;wx:font wx:val=&quot;Cambria Math&quot;/&gt;&lt;w:i/&gt;&lt;w:sz w:val=&quot;18&quot;/&gt;&lt;w:sz-cs w:val=&quot;20&quot;/&gt;&lt;/w:rPr&gt;&lt;m:t&gt;, 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95F09">
              <w:rPr>
                <w:color w:val="000000"/>
                <w:sz w:val="20"/>
                <w:szCs w:val="20"/>
              </w:rPr>
              <w:instrText xml:space="preserve"> </w:instrText>
            </w:r>
            <w:r w:rsidRPr="00295F09">
              <w:rPr>
                <w:color w:val="000000"/>
                <w:sz w:val="20"/>
                <w:szCs w:val="20"/>
              </w:rPr>
              <w:fldChar w:fldCharType="separate"/>
            </w:r>
            <w:r w:rsidR="003F2720">
              <w:rPr>
                <w:noProof/>
                <w:color w:val="000000"/>
                <w:position w:val="-10"/>
                <w:sz w:val="20"/>
                <w:szCs w:val="20"/>
              </w:rPr>
              <w:pict>
                <v:shape id="_x0000_i1033" type="#_x0000_t75" alt="" style="width:50.7pt;height:16.3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4372&quot;/&gt;&lt;wsp:rsid wsp:val=&quot;000654C2&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59B6&quot;/&gt;&lt;wsp:rsid wsp:val=&quot;000F59FD&quot;/&gt;&lt;wsp:rsid wsp:val=&quot;000F5EEF&quot;/&gt;&lt;wsp:rsid wsp:val=&quot;000F647A&quot;/&gt;&lt;wsp:rsid wsp:val=&quot;000F6E57&quot;/&gt;&lt;wsp:rsid wsp:val=&quot;0010230E&quot;/&gt;&lt;wsp:rsid wsp:val=&quot;00103337&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6174&quot;/&gt;&lt;wsp:rsid wsp:val=&quot;001603EE&quot;/&gt;&lt;wsp:rsid wsp:val=&quot;0016549C&quot;/&gt;&lt;wsp:rsid wsp:val=&quot;00166A8A&quot;/&gt;&lt;wsp:rsid wsp:val=&quot;00166BB5&quot;/&gt;&lt;wsp:rsid wsp:val=&quot;00166FB4&quot;/&gt;&lt;wsp:rsid wsp:val=&quot;001671FB&quot;/&gt;&lt;wsp:rsid wsp:val=&quot;0017210B&quot;/&gt;&lt;wsp:rsid wsp:val=&quot;00175C93&quot;/&gt;&lt;wsp:rsid wsp:val=&quot;001777C6&quot;/&gt;&lt;wsp:rsid wsp:val=&quot;0018004F&quot;/&gt;&lt;wsp:rsid wsp:val=&quot;00181906&quot;/&gt;&lt;wsp:rsid wsp:val=&quot;00182437&quot;/&gt;&lt;wsp:rsid wsp:val=&quot;001837F8&quot;/&gt;&lt;wsp:rsid wsp:val=&quot;00184862&quot;/&gt;&lt;wsp:rsid wsp:val=&quot;00185D17&quot;/&gt;&lt;wsp:rsid wsp:val=&quot;00186520&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B04&quot;/&gt;&lt;wsp:rsid wsp:val=&quot;001F2C8F&quot;/&gt;&lt;wsp:rsid wsp:val=&quot;001F3FF4&quot;/&gt;&lt;wsp:rsid wsp:val=&quot;001F6102&quot;/&gt;&lt;wsp:rsid wsp:val=&quot;001F7766&quot;/&gt;&lt;wsp:rsid wsp:val=&quot;00202C71&quot;/&gt;&lt;wsp:rsid wsp:val=&quot;00205A7D&quot;/&gt;&lt;wsp:rsid wsp:val=&quot;00207C8A&quot;/&gt;&lt;wsp:rsid wsp:val=&quot;00211448&quot;/&gt;&lt;wsp:rsid wsp:val=&quot;00213BCA&quot;/&gt;&lt;wsp:rsid wsp:val=&quot;002148DC&quot;/&gt;&lt;wsp:rsid wsp:val=&quot;00214D7E&quot;/&gt;&lt;wsp:rsid wsp:val=&quot;00214F2A&quot;/&gt;&lt;wsp:rsid wsp:val=&quot;002216DD&quot;/&gt;&lt;wsp:rsid wsp:val=&quot;00221E20&quot;/&gt;&lt;wsp:rsid wsp:val=&quot;00222232&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757E&quot;/&gt;&lt;wsp:rsid wsp:val=&quot;002975B2&quot;/&gt;&lt;wsp:rsid wsp:val=&quot;00297F24&quot;/&gt;&lt;wsp:rsid wsp:val=&quot;002A1E7D&quot;/&gt;&lt;wsp:rsid wsp:val=&quot;002A6961&quot;/&gt;&lt;wsp:rsid wsp:val=&quot;002B0873&quot;/&gt;&lt;wsp:rsid wsp:val=&quot;002B1FFA&quot;/&gt;&lt;wsp:rsid wsp:val=&quot;002B4B78&quot;/&gt;&lt;wsp:rsid wsp:val=&quot;002B544D&quot;/&gt;&lt;wsp:rsid wsp:val=&quot;002B6E04&quot;/&gt;&lt;wsp:rsid wsp:val=&quot;002B6E21&quot;/&gt;&lt;wsp:rsid wsp:val=&quot;002C7702&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16115&quot;/&gt;&lt;wsp:rsid wsp:val=&quot;003161EF&quot;/&gt;&lt;wsp:rsid wsp:val=&quot;00321616&quot;/&gt;&lt;wsp:rsid wsp:val=&quot;003218BF&quot;/&gt;&lt;wsp:rsid wsp:val=&quot;0032301D&quot;/&gt;&lt;wsp:rsid wsp:val=&quot;003230FF&quot;/&gt;&lt;wsp:rsid wsp:val=&quot;003234F6&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43F&quot;/&gt;&lt;wsp:rsid wsp:val=&quot;003D33A8&quot;/&gt;&lt;wsp:rsid wsp:val=&quot;003D4016&quot;/&gt;&lt;wsp:rsid wsp:val=&quot;003D4FFD&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7B5E&quot;/&gt;&lt;wsp:rsid wsp:val=&quot;004470F2&quot;/&gt;&lt;wsp:rsid wsp:val=&quot;0045376A&quot;/&gt;&lt;wsp:rsid wsp:val=&quot;00455581&quot;/&gt;&lt;wsp:rsid wsp:val=&quot;004604FD&quot;/&gt;&lt;wsp:rsid wsp:val=&quot;00460DBF&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5270&quot;/&gt;&lt;wsp:rsid wsp:val=&quot;004A7E9C&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21D4&quot;/&gt;&lt;wsp:rsid wsp:val=&quot;00514701&quot;/&gt;&lt;wsp:rsid wsp:val=&quot;00521FA7&quot;/&gt;&lt;wsp:rsid wsp:val=&quot;00522F03&quot;/&gt;&lt;wsp:rsid wsp:val=&quot;00524E96&quot;/&gt;&lt;wsp:rsid wsp:val=&quot;00532D8C&quot;/&gt;&lt;wsp:rsid wsp:val=&quot;005454A0&quot;/&gt;&lt;wsp:rsid wsp:val=&quot;00545925&quot;/&gt;&lt;wsp:rsid wsp:val=&quot;00546026&quot;/&gt;&lt;wsp:rsid wsp:val=&quot;00546BEF&quot;/&gt;&lt;wsp:rsid wsp:val=&quot;00547AEB&quot;/&gt;&lt;wsp:rsid wsp:val=&quot;00551343&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2D7B&quot;/&gt;&lt;wsp:rsid wsp:val=&quot;005634EC&quot;/&gt;&lt;wsp:rsid wsp:val=&quot;0056486C&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636&quot;/&gt;&lt;wsp:rsid wsp:val=&quot;005936B6&quot;/&gt;&lt;wsp:rsid wsp:val=&quot;0059417F&quot;/&gt;&lt;wsp:rsid wsp:val=&quot;00595848&quot;/&gt;&lt;wsp:rsid wsp:val=&quot;00595D38&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303B&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F21&quot;/&gt;&lt;wsp:rsid wsp:val=&quot;0069331A&quot;/&gt;&lt;wsp:rsid wsp:val=&quot;0069360C&quot;/&gt;&lt;wsp:rsid wsp:val=&quot;0069635A&quot;/&gt;&lt;wsp:rsid wsp:val=&quot;0069736D&quot;/&gt;&lt;wsp:rsid wsp:val=&quot;006978E1&quot;/&gt;&lt;wsp:rsid wsp:val=&quot;006A3605&quot;/&gt;&lt;wsp:rsid wsp:val=&quot;006A45C1&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E04E8&quot;/&gt;&lt;wsp:rsid wsp:val=&quot;006E4A82&quot;/&gt;&lt;wsp:rsid wsp:val=&quot;006F1592&quot;/&gt;&lt;wsp:rsid wsp:val=&quot;006F4666&quot;/&gt;&lt;wsp:rsid wsp:val=&quot;006F49C4&quot;/&gt;&lt;wsp:rsid wsp:val=&quot;007003FC&quot;/&gt;&lt;wsp:rsid wsp:val=&quot;007040C1&quot;/&gt;&lt;wsp:rsid wsp:val=&quot;00704221&quot;/&gt;&lt;wsp:rsid wsp:val=&quot;00704D87&quot;/&gt;&lt;wsp:rsid wsp:val=&quot;00705161&quot;/&gt;&lt;wsp:rsid wsp:val=&quot;00706AC6&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5E9A&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31B0&quot;/&gt;&lt;wsp:rsid wsp:val=&quot;00783D97&quot;/&gt;&lt;wsp:rsid wsp:val=&quot;00784592&quot;/&gt;&lt;wsp:rsid wsp:val=&quot;00785878&quot;/&gt;&lt;wsp:rsid wsp:val=&quot;00785E7F&quot;/&gt;&lt;wsp:rsid wsp:val=&quot;007860DD&quot;/&gt;&lt;wsp:rsid wsp:val=&quot;007861D4&quot;/&gt;&lt;wsp:rsid wsp:val=&quot;007864FE&quot;/&gt;&lt;wsp:rsid wsp:val=&quot;00792320&quot;/&gt;&lt;wsp:rsid wsp:val=&quot;007971A6&quot;/&gt;&lt;wsp:rsid wsp:val=&quot;007A24A4&quot;/&gt;&lt;wsp:rsid wsp:val=&quot;007A6225&quot;/&gt;&lt;wsp:rsid wsp:val=&quot;007B25A3&quot;/&gt;&lt;wsp:rsid wsp:val=&quot;007B76E3&quot;/&gt;&lt;wsp:rsid wsp:val=&quot;007B7F47&quot;/&gt;&lt;wsp:rsid wsp:val=&quot;007C3C20&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2028&quot;/&gt;&lt;wsp:rsid wsp:val=&quot;00842913&quot;/&gt;&lt;wsp:rsid wsp:val=&quot;00842958&quot;/&gt;&lt;wsp:rsid wsp:val=&quot;00845785&quot;/&gt;&lt;wsp:rsid wsp:val=&quot;00854556&quot;/&gt;&lt;wsp:rsid wsp:val=&quot;00860E7D&quot;/&gt;&lt;wsp:rsid wsp:val=&quot;00864E0E&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B0F75&quot;/&gt;&lt;wsp:rsid wsp:val=&quot;008B3EEF&quot;/&gt;&lt;wsp:rsid wsp:val=&quot;008B4981&quot;/&gt;&lt;wsp:rsid wsp:val=&quot;008C655F&quot;/&gt;&lt;wsp:rsid wsp:val=&quot;008C753E&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219A7&quot;/&gt;&lt;wsp:rsid wsp:val=&quot;00921C42&quot;/&gt;&lt;wsp:rsid wsp:val=&quot;009241EA&quot;/&gt;&lt;wsp:rsid wsp:val=&quot;00924E2C&quot;/&gt;&lt;wsp:rsid wsp:val=&quot;00926846&quot;/&gt;&lt;wsp:rsid wsp:val=&quot;009270AE&quot;/&gt;&lt;wsp:rsid wsp:val=&quot;00930024&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93D88&quot;/&gt;&lt;wsp:rsid wsp:val=&quot;009963D5&quot;/&gt;&lt;wsp:rsid wsp:val=&quot;009A02D8&quot;/&gt;&lt;wsp:rsid wsp:val=&quot;009A2DA1&quot;/&gt;&lt;wsp:rsid wsp:val=&quot;009A5A09&quot;/&gt;&lt;wsp:rsid wsp:val=&quot;009A6F45&quot;/&gt;&lt;wsp:rsid wsp:val=&quot;009B1D77&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7306&quot;/&gt;&lt;wsp:rsid wsp:val=&quot;00A43A40&quot;/&gt;&lt;wsp:rsid wsp:val=&quot;00A453E9&quot;/&gt;&lt;wsp:rsid wsp:val=&quot;00A54C47&quot;/&gt;&lt;wsp:rsid wsp:val=&quot;00A629C8&quot;/&gt;&lt;wsp:rsid wsp:val=&quot;00A64300&quot;/&gt;&lt;wsp:rsid wsp:val=&quot;00A709E8&quot;/&gt;&lt;wsp:rsid wsp:val=&quot;00A71D04&quot;/&gt;&lt;wsp:rsid wsp:val=&quot;00A725A2&quot;/&gt;&lt;wsp:rsid wsp:val=&quot;00A750A4&quot;/&gt;&lt;wsp:rsid wsp:val=&quot;00A80D3B&quot;/&gt;&lt;wsp:rsid wsp:val=&quot;00A82BC8&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6221&quot;/&gt;&lt;wsp:rsid wsp:val=&quot;00B273E4&quot;/&gt;&lt;wsp:rsid wsp:val=&quot;00B3185B&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7475A&quot;/&gt;&lt;wsp:rsid wsp:val=&quot;00B75DE1&quot;/&gt;&lt;wsp:rsid wsp:val=&quot;00B80F17&quot;/&gt;&lt;wsp:rsid wsp:val=&quot;00B8169D&quot;/&gt;&lt;wsp:rsid wsp:val=&quot;00B841E5&quot;/&gt;&lt;wsp:rsid wsp:val=&quot;00B866E9&quot;/&gt;&lt;wsp:rsid wsp:val=&quot;00B86936&quot;/&gt;&lt;wsp:rsid wsp:val=&quot;00B86D4D&quot;/&gt;&lt;wsp:rsid wsp:val=&quot;00B906C7&quot;/&gt;&lt;wsp:rsid wsp:val=&quot;00B90F97&quot;/&gt;&lt;wsp:rsid wsp:val=&quot;00B9364E&quot;/&gt;&lt;wsp:rsid wsp:val=&quot;00B93DA4&quot;/&gt;&lt;wsp:rsid wsp:val=&quot;00B97AAA&quot;/&gt;&lt;wsp:rsid wsp:val=&quot;00BA3DEF&quot;/&gt;&lt;wsp:rsid wsp:val=&quot;00BA6B1E&quot;/&gt;&lt;wsp:rsid wsp:val=&quot;00BA74B0&quot;/&gt;&lt;wsp:rsid wsp:val=&quot;00BC088B&quot;/&gt;&lt;wsp:rsid wsp:val=&quot;00BC0B79&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4921&quot;/&gt;&lt;wsp:rsid wsp:val=&quot;00C05269&quot;/&gt;&lt;wsp:rsid wsp:val=&quot;00C07ABB&quot;/&gt;&lt;wsp:rsid wsp:val=&quot;00C16B72&quot;/&gt;&lt;wsp:rsid wsp:val=&quot;00C213F0&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2680&quot;/&gt;&lt;wsp:rsid wsp:val=&quot;00C6499C&quot;/&gt;&lt;wsp:rsid wsp:val=&quot;00C6529A&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4300&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1164E&quot;/&gt;&lt;wsp:rsid wsp:val=&quot;00D1193D&quot;/&gt;&lt;wsp:rsid wsp:val=&quot;00D12666&quot;/&gt;&lt;wsp:rsid wsp:val=&quot;00D1420E&quot;/&gt;&lt;wsp:rsid wsp:val=&quot;00D15FAF&quot;/&gt;&lt;wsp:rsid wsp:val=&quot;00D162CB&quot;/&gt;&lt;wsp:rsid wsp:val=&quot;00D23702&quot;/&gt;&lt;wsp:rsid wsp:val=&quot;00D26D98&quot;/&gt;&lt;wsp:rsid wsp:val=&quot;00D327B2&quot;/&gt;&lt;wsp:rsid wsp:val=&quot;00D333EC&quot;/&gt;&lt;wsp:rsid wsp:val=&quot;00D344BC&quot;/&gt;&lt;wsp:rsid wsp:val=&quot;00D43CBF&quot;/&gt;&lt;wsp:rsid wsp:val=&quot;00D5711F&quot;/&gt;&lt;wsp:rsid wsp:val=&quot;00D60B06&quot;/&gt;&lt;wsp:rsid wsp:val=&quot;00D66373&quot;/&gt;&lt;wsp:rsid wsp:val=&quot;00D66E01&quot;/&gt;&lt;wsp:rsid wsp:val=&quot;00D6720E&quot;/&gt;&lt;wsp:rsid wsp:val=&quot;00D6781B&quot;/&gt;&lt;wsp:rsid wsp:val=&quot;00D82F8E&quot;/&gt;&lt;wsp:rsid wsp:val=&quot;00D835F6&quot;/&gt;&lt;wsp:rsid wsp:val=&quot;00D8382D&quot;/&gt;&lt;wsp:rsid wsp:val=&quot;00D84309&quot;/&gt;&lt;wsp:rsid wsp:val=&quot;00D84362&quot;/&gt;&lt;wsp:rsid wsp:val=&quot;00D90CF2&quot;/&gt;&lt;wsp:rsid wsp:val=&quot;00D92889&quot;/&gt;&lt;wsp:rsid wsp:val=&quot;00D93FFD&quot;/&gt;&lt;wsp:rsid wsp:val=&quot;00D978A0&quot;/&gt;&lt;wsp:rsid wsp:val=&quot;00D97D4D&quot;/&gt;&lt;wsp:rsid wsp:val=&quot;00DA4A9C&quot;/&gt;&lt;wsp:rsid wsp:val=&quot;00DA4F39&quot;/&gt;&lt;wsp:rsid wsp:val=&quot;00DA639D&quot;/&gt;&lt;wsp:rsid wsp:val=&quot;00DB156D&quot;/&gt;&lt;wsp:rsid wsp:val=&quot;00DB5B7F&quot;/&gt;&lt;wsp:rsid wsp:val=&quot;00DB5C56&quot;/&gt;&lt;wsp:rsid wsp:val=&quot;00DB7E00&quot;/&gt;&lt;wsp:rsid wsp:val=&quot;00DC4EF2&quot;/&gt;&lt;wsp:rsid wsp:val=&quot;00DC4FAB&quot;/&gt;&lt;wsp:rsid wsp:val=&quot;00DC7C0E&quot;/&gt;&lt;wsp:rsid wsp:val=&quot;00DD1075&quot;/&gt;&lt;wsp:rsid wsp:val=&quot;00DD110B&quot;/&gt;&lt;wsp:rsid wsp:val=&quot;00DD5063&quot;/&gt;&lt;wsp:rsid wsp:val=&quot;00DD7B0B&quot;/&gt;&lt;wsp:rsid wsp:val=&quot;00DE0182&quot;/&gt;&lt;wsp:rsid wsp:val=&quot;00DE0B19&quot;/&gt;&lt;wsp:rsid wsp:val=&quot;00DE214A&quot;/&gt;&lt;wsp:rsid wsp:val=&quot;00DE2E52&quot;/&gt;&lt;wsp:rsid wsp:val=&quot;00DE5DE1&quot;/&gt;&lt;wsp:rsid wsp:val=&quot;00DE7C02&quot;/&gt;&lt;wsp:rsid wsp:val=&quot;00DF0111&quot;/&gt;&lt;wsp:rsid wsp:val=&quot;00DF46B1&quot;/&gt;&lt;wsp:rsid wsp:val=&quot;00DF5416&quot;/&gt;&lt;wsp:rsid wsp:val=&quot;00E03022&quot;/&gt;&lt;wsp:rsid wsp:val=&quot;00E055D0&quot;/&gt;&lt;wsp:rsid wsp:val=&quot;00E14041&quot;/&gt;&lt;wsp:rsid wsp:val=&quot;00E14362&quot;/&gt;&lt;wsp:rsid wsp:val=&quot;00E15326&quot;/&gt;&lt;wsp:rsid wsp:val=&quot;00E20892&quot;/&gt;&lt;wsp:rsid wsp:val=&quot;00E2627F&quot;/&gt;&lt;wsp:rsid wsp:val=&quot;00E32BEE&quot;/&gt;&lt;wsp:rsid wsp:val=&quot;00E3505B&quot;/&gt;&lt;wsp:rsid wsp:val=&quot;00E435D3&quot;/&gt;&lt;wsp:rsid wsp:val=&quot;00E46490&quot;/&gt;&lt;wsp:rsid wsp:val=&quot;00E524D0&quot;/&gt;&lt;wsp:rsid wsp:val=&quot;00E60D5F&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FDE&quot;/&gt;&lt;wsp:rsid wsp:val=&quot;00EC2EB2&quot;/&gt;&lt;wsp:rsid wsp:val=&quot;00EC7B40&quot;/&gt;&lt;wsp:rsid wsp:val=&quot;00ED034C&quot;/&gt;&lt;wsp:rsid wsp:val=&quot;00ED0A61&quot;/&gt;&lt;wsp:rsid wsp:val=&quot;00ED1810&quot;/&gt;&lt;wsp:rsid wsp:val=&quot;00ED2DFB&quot;/&gt;&lt;wsp:rsid wsp:val=&quot;00ED2E01&quot;/&gt;&lt;wsp:rsid wsp:val=&quot;00ED309E&quot;/&gt;&lt;wsp:rsid wsp:val=&quot;00ED55AE&quot;/&gt;&lt;wsp:rsid wsp:val=&quot;00ED6056&quot;/&gt;&lt;wsp:rsid wsp:val=&quot;00EE1DB6&quot;/&gt;&lt;wsp:rsid wsp:val=&quot;00EF0B99&quot;/&gt;&lt;wsp:rsid wsp:val=&quot;00EF1AAC&quot;/&gt;&lt;wsp:rsid wsp:val=&quot;00EF3910&quot;/&gt;&lt;wsp:rsid wsp:val=&quot;00EF4F07&quot;/&gt;&lt;wsp:rsid wsp:val=&quot;00EF6036&quot;/&gt;&lt;wsp:rsid wsp:val=&quot;00F000D6&quot;/&gt;&lt;wsp:rsid wsp:val=&quot;00F0023E&quot;/&gt;&lt;wsp:rsid wsp:val=&quot;00F04BCD&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F0E&quot;/&gt;&lt;wsp:rsid wsp:val=&quot;00FB1020&quot;/&gt;&lt;wsp:rsid wsp:val=&quot;00FB112C&quot;/&gt;&lt;wsp:rsid wsp:val=&quot;00FB1ADB&quot;/&gt;&lt;wsp:rsid wsp:val=&quot;00FB3721&quot;/&gt;&lt;wsp:rsid wsp:val=&quot;00FC24B8&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6A52&quot;/&gt;&lt;wsp:rsid wsp:val=&quot;00FE7B3A&quot;/&gt;&lt;wsp:rsid wsp:val=&quot;00FE7E5A&quot;/&gt;&lt;wsp:rsid wsp:val=&quot;00FF2927&quot;/&gt;&lt;wsp:rsid wsp:val=&quot;00FF45F8&quot;/&gt;&lt;/wsp:rsids&gt;&lt;/w:docPr&gt;&lt;w:body&gt;&lt;wx:sect&gt;&lt;w:p wsp:rsidR=&quot;00000000&quot; wsp:rsidRDefault=&quot;001837F8&quot; wsp:rsidP=&quot;001837F8&quot;&gt;&lt;m:oMathPara&gt;&lt;m:oMath&gt;&lt;m:sSub&gt;&lt;m:sSubPr&gt;&lt;m:ctrlPr&gt;&lt;w:rPr&gt;&lt;w:rFonts w:ascii=&quot;Cambria Math&quot; w:h-ansi=&quot;Cambria Math&quot; w:cs=&quot;Times&quot;/&gt;&lt;wx:font wx:val=&quot;Cambria Math&quot;/&gt;&lt;w:i/&gt;&lt;w:sz w:val=&quot;18&quot;/&gt;&lt;w:sz-cs w:val=&quot;20&quot;/&gt;&lt;/w:rPr&gt;&lt;/m:ctrlPr&gt;&lt;/m:sSubPr&gt;&lt;m:e&gt;&lt;m:r&gt;&lt;w:rPr&gt;&lt;w:rFonts w:ascii=&quot;Cambria Math&quot; w:h-ansi=&quot;Cambria Math&quot; w:cs=&quot;Times&quot;/&gt;&lt;wx:font wx:val=&quot;Cambria Math&quot;/&gt;&lt;w:i/&gt;&lt;w:sz w:val=&quot;18&quot;/&gt;&lt;w:sz-cs w:val=&quot;20&quot;/&gt;&lt;/w:rPr&gt;&lt;m:t&gt;Œ±&lt;/m:t&gt;&lt;/m:r&gt;&lt;/m:e&gt;&lt;m:sub&gt;&lt;m:r&gt;&lt;w:rPr&gt;&lt;w:rFonts w:ascii=&quot;Cambria Math&quot; w:h-ansi=&quot;Cambria Math&quot; w:cs=&quot;Times&quot;/&gt;&lt;wx:font wx:val=&quot;Cambria Math&quot;/&gt;&lt;w:i/&gt;&lt;w:sz w:val=&quot;18&quot;/&gt;&lt;w:sz-cs w:val=&quot;20&quot;/&gt;&lt;/w:rPr&gt;&lt;m:t&gt;n&lt;/m:t&gt;&lt;/m:r&gt;&lt;/m:sub&gt;&lt;/m:sSub&gt;&lt;m:r&gt;&lt;w:rPr&gt;&lt;w:rFonts w:ascii=&quot;Cambria Math&quot; w:h-ansi=&quot;Cambria Math&quot; w:cs=&quot;Times&quot;/&gt;&lt;wx:font wx:val=&quot;Cambria Math&quot;/&gt;&lt;w:i/&gt;&lt;w:sz w:val=&quot;18&quot;/&gt;&lt;w:sz-cs w:val=&quot;20&quot;/&gt;&lt;/w:rPr&gt;&lt;m:t&gt;=&lt;/m:t&gt;&lt;/m:r&gt;&lt;m:d&gt;&lt;m:dPr&gt;&lt;m:begChr m:val=&quot;{&quot;/&gt;&lt;m:endChr m:val=&quot;}&quot;/&gt;&lt;m:ctrlPr&gt;&lt;w:rPr&gt;&lt;w:rFonts w:ascii=&quot;Cambria Math&quot; w:h-ansi=&quot;Cambria Math&quot; w:cs=&quot;Times&quot;/&gt;&lt;wx:font wx:val=&quot;Cambria Math&quot;/&gt;&lt;w:i/&gt;&lt;w:sz w:val=&quot;18&quot;/&gt;&lt;w:sz-cs w:val=&quot;20&quot;/&gt;&lt;/w:rPr&gt;&lt;/m:ctrlPr&gt;&lt;/m:dPr&gt;&lt;m:e&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1&lt;/m:t&gt;&lt;/m:r&gt;&lt;/m:num&gt;&lt;m:den&gt;&lt;m:r&gt;&lt;w:rPr&gt;&lt;w:rFonts w:ascii=&quot;Cambria Math&quot; w:h-ansi=&quot;Cambria Math&quot; w:cs=&quot;Times&quot;/&gt;&lt;wx:font wx:val=&quot;Cambria Math&quot;/&gt;&lt;w:i/&gt;&lt;w:sz w:val=&quot;18&quot;/&gt;&lt;w:sz-cs w:val=&quot;20&quot;/&gt;&lt;/w:rPr&gt;&lt;m:t&gt;2&lt;/m:t&gt;&lt;/m:r&gt;&lt;/m:den&gt;&lt;/m:f&gt;&lt;m:r&gt;&lt;w:rPr&gt;&lt;w:rFonts w:ascii=&quot;Cambria Math&quot; w:h-ansi=&quot;Cambria Math&quot; w:cs=&quot;Times&quot;/&gt;&lt;wx:font wx:val=&quot;Cambria Math&quot;/&gt;&lt;w:i/&gt;&lt;w:sz w:val=&quot;18&quot;/&gt;&lt;w:sz-cs w:val=&quot;20&quot;/&gt;&lt;/w:rPr&gt;&lt;m:t&gt;,&lt;/m:t&gt;&lt;/m:r&gt;&lt;m:f&gt;&lt;m:fPr&gt;&lt;m:ctrlPr&gt;&lt;w:rPr&gt;&lt;w:rFonts w:ascii=&quot;Cambria Math&quot; w:h-ansi=&quot;Cambria Math&quot; w:cs=&quot;Times&quot;/&gt;&lt;wx:font wx:val=&quot;Cambria Math&quot;/&gt;&lt;w:i/&gt;&lt;w:sz w:val=&quot;18&quot;/&gt;&lt;w:sz-cs w:val=&quot;20&quot;/&gt;&lt;/w:rPr&gt;&lt;/m:ctrlPr&gt;&lt;/m:fPr&gt;&lt;m:num&gt;&lt;m:r&gt;&lt;w:rPr&gt;&lt;w:rFonts w:ascii=&quot;Cambria Math&quot; w:h-ansi=&quot;Cambria Math&quot; w:cs=&quot;Times&quot;/&gt;&lt;wx:font wx:val=&quot;Cambria Math&quot;/&gt;&lt;w:i/&gt;&lt;w:sz w:val=&quot;18&quot;/&gt;&lt;w:sz-cs w:val=&quot;20&quot;/&gt;&lt;/w:rPr&gt;&lt;m:t&gt;3&lt;/m:t&gt;&lt;/m:r&gt;&lt;/m:num&gt;&lt;m:den&gt;&lt;m:r&gt;&lt;w:rPr&gt;&lt;w:rFonts w:ascii=&quot;Cambria Math&quot; w:h-ansi=&quot;Cambria Math&quot; w:cs=&quot;Times&quot;/&gt;&lt;wx:font wx:val=&quot;Cambria Math&quot;/&gt;&lt;w:i/&gt;&lt;w:sz w:val=&quot;18&quot;/&gt;&lt;w:sz-cs w:val=&quot;20&quot;/&gt;&lt;/w:rPr&gt;&lt;m:t&gt;4&lt;/m:t&gt;&lt;/m:r&gt;&lt;/m:den&gt;&lt;/m:f&gt;&lt;m:r&gt;&lt;w:rPr&gt;&lt;w:rFonts w:ascii=&quot;Cambria Math&quot; w:h-ansi=&quot;Cambria Math&quot; w:cs=&quot;Times&quot;/&gt;&lt;wx:font wx:val=&quot;Cambria Math&quot;/&gt;&lt;w:i/&gt;&lt;w:sz w:val=&quot;18&quot;/&gt;&lt;w:sz-cs w:val=&quot;20&quot;/&gt;&lt;/w:rPr&gt;&lt;m:t&gt;, 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295F09">
              <w:rPr>
                <w:color w:val="000000"/>
                <w:sz w:val="20"/>
                <w:szCs w:val="20"/>
              </w:rPr>
              <w:fldChar w:fldCharType="end"/>
            </w:r>
            <w:r w:rsidRPr="00295F09">
              <w:rPr>
                <w:color w:val="000000"/>
                <w:sz w:val="20"/>
                <w:szCs w:val="20"/>
              </w:rPr>
              <w:t xml:space="preserve"> </w:t>
            </w:r>
          </w:p>
          <w:p w:rsidR="008A18C8" w:rsidRPr="00295F09" w:rsidRDefault="008A18C8" w:rsidP="008A18C8">
            <w:pPr>
              <w:snapToGrid w:val="0"/>
              <w:rPr>
                <w:color w:val="000000"/>
                <w:sz w:val="20"/>
                <w:szCs w:val="20"/>
              </w:rPr>
            </w:pPr>
            <w:r w:rsidRPr="00295F09">
              <w:rPr>
                <w:color w:val="000000"/>
                <w:sz w:val="20"/>
                <w:szCs w:val="20"/>
              </w:rPr>
              <w:t xml:space="preserve">FFS: Whether the set of </w:t>
            </w:r>
            <w:r w:rsidRPr="00295F09">
              <w:rPr>
                <w:i/>
                <w:color w:val="000000"/>
                <w:sz w:val="20"/>
                <w:szCs w:val="20"/>
              </w:rPr>
              <w:t>N</w:t>
            </w:r>
            <w:r w:rsidRPr="00295F09">
              <w:rPr>
                <w:i/>
                <w:color w:val="000000"/>
                <w:sz w:val="20"/>
                <w:szCs w:val="20"/>
                <w:vertAlign w:val="subscript"/>
              </w:rPr>
              <w:t>L</w:t>
            </w:r>
            <w:r w:rsidRPr="00295F09">
              <w:rPr>
                <w:color w:val="000000"/>
                <w:sz w:val="20"/>
                <w:szCs w:val="20"/>
              </w:rPr>
              <w:t xml:space="preserve"> combinations of values for {</w:t>
            </w:r>
            <w:r w:rsidRPr="00295F09">
              <w:rPr>
                <w:i/>
                <w:color w:val="000000"/>
                <w:sz w:val="20"/>
                <w:szCs w:val="20"/>
              </w:rPr>
              <w:t>L</w:t>
            </w:r>
            <w:r w:rsidRPr="00295F09">
              <w:rPr>
                <w:color w:val="000000"/>
                <w:sz w:val="20"/>
                <w:szCs w:val="20"/>
                <w:vertAlign w:val="subscript"/>
              </w:rPr>
              <w:t>1</w:t>
            </w:r>
            <w:r w:rsidRPr="00295F09">
              <w:rPr>
                <w:color w:val="000000"/>
                <w:sz w:val="20"/>
                <w:szCs w:val="20"/>
              </w:rPr>
              <w:t xml:space="preserve">, ..., </w:t>
            </w:r>
            <w:r w:rsidRPr="00295F09">
              <w:rPr>
                <w:i/>
                <w:color w:val="000000"/>
                <w:sz w:val="20"/>
                <w:szCs w:val="20"/>
              </w:rPr>
              <w:t>L</w:t>
            </w:r>
            <w:r w:rsidRPr="00295F09">
              <w:rPr>
                <w:i/>
                <w:color w:val="000000"/>
                <w:sz w:val="20"/>
                <w:szCs w:val="20"/>
                <w:vertAlign w:val="subscript"/>
              </w:rPr>
              <w:t>NTRP</w:t>
            </w:r>
            <w:r w:rsidRPr="00295F09">
              <w:rPr>
                <w:color w:val="000000"/>
                <w:sz w:val="20"/>
                <w:szCs w:val="20"/>
              </w:rPr>
              <w:t>} can be implicitly derived</w:t>
            </w:r>
          </w:p>
          <w:p w:rsidR="008A18C8" w:rsidRPr="00295F09" w:rsidRDefault="008A18C8" w:rsidP="008A18C8">
            <w:pPr>
              <w:snapToGrid w:val="0"/>
              <w:rPr>
                <w:color w:val="000000"/>
                <w:sz w:val="20"/>
                <w:szCs w:val="20"/>
              </w:rPr>
            </w:pPr>
            <w:r w:rsidRPr="00295F09">
              <w:rPr>
                <w:color w:val="000000"/>
                <w:sz w:val="20"/>
                <w:szCs w:val="20"/>
              </w:rPr>
              <w:t xml:space="preserve">Following the legacy design, for all the selected </w:t>
            </w:r>
            <w:r w:rsidRPr="00295F09">
              <w:rPr>
                <w:i/>
                <w:color w:val="000000"/>
                <w:sz w:val="20"/>
                <w:szCs w:val="20"/>
              </w:rPr>
              <w:t>N</w:t>
            </w:r>
            <w:r w:rsidRPr="00295F09">
              <w:rPr>
                <w:color w:val="000000"/>
                <w:sz w:val="20"/>
                <w:szCs w:val="20"/>
              </w:rPr>
              <w:t xml:space="preserve"> CSI-RS resources, the SD basis oversampling group for each CSI-RS resource is indicated in CSI part 2 using an indicator selected from a set of </w:t>
            </w:r>
            <w:r w:rsidRPr="00295F09">
              <w:rPr>
                <w:i/>
                <w:color w:val="000000"/>
                <w:sz w:val="20"/>
                <w:szCs w:val="20"/>
              </w:rPr>
              <w:t>O</w:t>
            </w:r>
            <w:r w:rsidRPr="00295F09">
              <w:rPr>
                <w:color w:val="000000"/>
                <w:sz w:val="20"/>
                <w:szCs w:val="20"/>
                <w:vertAlign w:val="subscript"/>
              </w:rPr>
              <w:t>1</w:t>
            </w:r>
            <w:r w:rsidRPr="00295F09">
              <w:rPr>
                <w:i/>
                <w:color w:val="000000"/>
                <w:sz w:val="20"/>
                <w:szCs w:val="20"/>
              </w:rPr>
              <w:t>O</w:t>
            </w:r>
            <w:r w:rsidRPr="00295F09">
              <w:rPr>
                <w:color w:val="000000"/>
                <w:sz w:val="20"/>
                <w:szCs w:val="20"/>
                <w:vertAlign w:val="subscript"/>
              </w:rPr>
              <w:t>2</w:t>
            </w:r>
            <w:r w:rsidRPr="00295F09">
              <w:rPr>
                <w:color w:val="000000"/>
                <w:sz w:val="20"/>
                <w:szCs w:val="20"/>
              </w:rPr>
              <w:t xml:space="preserve"> codepoints.</w:t>
            </w:r>
          </w:p>
          <w:p w:rsidR="008A18C8" w:rsidRPr="00295F09" w:rsidRDefault="008A18C8" w:rsidP="008A18C8">
            <w:pPr>
              <w:rPr>
                <w:iCs/>
                <w:sz w:val="20"/>
                <w:szCs w:val="20"/>
              </w:rPr>
            </w:pPr>
          </w:p>
          <w:p w:rsidR="008A18C8" w:rsidRPr="00295F09" w:rsidRDefault="008A18C8" w:rsidP="008A18C8">
            <w:pPr>
              <w:rPr>
                <w:iCs/>
                <w:sz w:val="20"/>
                <w:szCs w:val="20"/>
              </w:rPr>
            </w:pPr>
          </w:p>
          <w:p w:rsidR="008A18C8" w:rsidRPr="00295F09" w:rsidRDefault="008A18C8" w:rsidP="008A18C8">
            <w:pPr>
              <w:snapToGrid w:val="0"/>
              <w:rPr>
                <w:rFonts w:eastAsia="Malgun Gothic"/>
                <w:sz w:val="20"/>
                <w:szCs w:val="20"/>
                <w:highlight w:val="green"/>
              </w:rPr>
            </w:pPr>
            <w:r w:rsidRPr="00295F09">
              <w:rPr>
                <w:rFonts w:eastAsia="Malgun Gothic"/>
                <w:b/>
                <w:sz w:val="20"/>
                <w:szCs w:val="20"/>
                <w:highlight w:val="green"/>
              </w:rPr>
              <w:t>Agreement</w:t>
            </w:r>
          </w:p>
          <w:p w:rsidR="008A18C8" w:rsidRPr="00295F09" w:rsidRDefault="008A18C8" w:rsidP="008A18C8">
            <w:pPr>
              <w:snapToGrid w:val="0"/>
              <w:rPr>
                <w:rFonts w:eastAsia="Malgun Gothic"/>
                <w:sz w:val="20"/>
                <w:szCs w:val="20"/>
              </w:rPr>
            </w:pPr>
            <w:r w:rsidRPr="00295F09">
              <w:rPr>
                <w:rFonts w:eastAsia="Malgun Gothic"/>
                <w:sz w:val="20"/>
                <w:szCs w:val="20"/>
              </w:rPr>
              <w:t>For the Rel-18 TRS-based TDCP reporting, down select only one of the following alternatives by RAN1#112:</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AltA.1 (Doppler spread) as described in R1-2210523</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AltA.2 (Doppler shift): </w:t>
            </w:r>
            <w:r w:rsidRPr="00295F09">
              <w:rPr>
                <w:rFonts w:ascii="Times New Roman" w:hAnsi="Times New Roman"/>
                <w:szCs w:val="20"/>
              </w:rPr>
              <w:t xml:space="preserve">A UE is configured to report the Doppler shifts corresponding to the M strongest peaks of the wideband Doppler spectrum, for each of the </w:t>
            </w:r>
            <w:r w:rsidRPr="00295F09">
              <w:rPr>
                <w:rFonts w:ascii="Times New Roman" w:eastAsia="Malgun Gothic" w:hAnsi="Times New Roman"/>
                <w:szCs w:val="20"/>
              </w:rPr>
              <w:fldChar w:fldCharType="begin"/>
            </w:r>
            <w:r w:rsidRPr="00295F09">
              <w:rPr>
                <w:rFonts w:ascii="Times New Roman" w:eastAsia="Malgun Gothic" w:hAnsi="Times New Roman"/>
                <w:szCs w:val="20"/>
              </w:rPr>
              <w:instrText xml:space="preserve"> QUOTE </w:instrText>
            </w:r>
            <w:r w:rsidR="003F2720">
              <w:rPr>
                <w:rFonts w:ascii="Times New Roman" w:hAnsi="Times New Roman"/>
                <w:noProof/>
                <w:position w:val="-4"/>
                <w:szCs w:val="20"/>
              </w:rPr>
              <w:pict>
                <v:shape id="_x0000_i1032" type="#_x0000_t75" alt="" style="width:23.1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B4D56&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B4D56&quot; wsp:rsidP=&quot;000B4D56&quot;&gt;&lt;m:oMathPara&gt;&lt;m:oMath&gt;&lt;m:r&gt;&lt;w:rPr&gt;&lt;w:rFonts w:ascii=&quot;Cambria Math&quot; w:h-ansi=&quot;Cambria Math&quot;/&gt;&lt;wx:font wx:val=&quot;Cambria Math&quot;/&gt;&lt;w:i/&gt;&lt;w:sz w:val=&quot;18&quot;/&gt;&lt;/w:rPr&gt;&lt;m:t&gt;N‚â•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95F09">
              <w:rPr>
                <w:rFonts w:ascii="Times New Roman" w:eastAsia="Malgun Gothic" w:hAnsi="Times New Roman"/>
                <w:szCs w:val="20"/>
              </w:rPr>
              <w:instrText xml:space="preserve"> </w:instrText>
            </w:r>
            <w:r w:rsidRPr="00295F09">
              <w:rPr>
                <w:rFonts w:ascii="Times New Roman" w:eastAsia="Malgun Gothic" w:hAnsi="Times New Roman"/>
                <w:szCs w:val="20"/>
              </w:rPr>
              <w:fldChar w:fldCharType="separate"/>
            </w:r>
            <w:r w:rsidR="003F2720">
              <w:rPr>
                <w:rFonts w:ascii="Times New Roman" w:hAnsi="Times New Roman"/>
                <w:noProof/>
                <w:position w:val="-4"/>
                <w:szCs w:val="20"/>
              </w:rPr>
              <w:pict>
                <v:shape id="_x0000_i1031" type="#_x0000_t75" alt="" style="width:23.15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B4D56&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B4D56&quot; wsp:rsidP=&quot;000B4D56&quot;&gt;&lt;m:oMathPara&gt;&lt;m:oMath&gt;&lt;m:r&gt;&lt;w:rPr&gt;&lt;w:rFonts w:ascii=&quot;Cambria Math&quot; w:h-ansi=&quot;Cambria Math&quot;/&gt;&lt;wx:font wx:val=&quot;Cambria Math&quot;/&gt;&lt;w:i/&gt;&lt;w:sz w:val=&quot;18&quot;/&gt;&lt;/w:rPr&gt;&lt;m:t&gt;N‚â•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295F09">
              <w:rPr>
                <w:rFonts w:ascii="Times New Roman" w:eastAsia="Malgun Gothic" w:hAnsi="Times New Roman"/>
                <w:szCs w:val="20"/>
              </w:rPr>
              <w:fldChar w:fldCharType="end"/>
            </w:r>
            <w:r w:rsidRPr="00295F09">
              <w:rPr>
                <w:rFonts w:ascii="Times New Roman" w:eastAsia="Malgun Gothic" w:hAnsi="Times New Roman"/>
                <w:szCs w:val="20"/>
              </w:rPr>
              <w:t xml:space="preserve"> </w:t>
            </w:r>
            <w:r w:rsidRPr="00295F09">
              <w:rPr>
                <w:rFonts w:ascii="Times New Roman" w:hAnsi="Times New Roman"/>
                <w:szCs w:val="20"/>
              </w:rPr>
              <w:t>configured TRS resources</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hAnsi="Times New Roman"/>
                <w:szCs w:val="20"/>
                <w:lang w:eastAsia="en-GB"/>
              </w:rPr>
              <w:t>A TDCP report can be configured with N periodic TRS resources (e.g., N=2 with one TRS resource per TRP)</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eastAsia="Times New Roman" w:hAnsi="Times New Roman"/>
                <w:szCs w:val="20"/>
              </w:rPr>
              <w:t>Parameter M is RRC configured with candidate values TBD, e.g. M=1,2,3,…</w:t>
            </w:r>
          </w:p>
          <w:p w:rsidR="008A18C8" w:rsidRPr="00295F09" w:rsidRDefault="008A18C8">
            <w:pPr>
              <w:pStyle w:val="ListParagraph"/>
              <w:numPr>
                <w:ilvl w:val="1"/>
                <w:numId w:val="13"/>
              </w:numPr>
              <w:suppressAutoHyphens/>
              <w:snapToGrid w:val="0"/>
              <w:ind w:leftChars="0"/>
              <w:rPr>
                <w:rFonts w:ascii="Times New Roman" w:eastAsia="Malgun Gothic" w:hAnsi="Times New Roman"/>
                <w:szCs w:val="20"/>
              </w:rPr>
            </w:pPr>
            <w:r w:rsidRPr="00295F09">
              <w:rPr>
                <w:rFonts w:ascii="Times New Roman" w:eastAsia="Times New Roman" w:hAnsi="Times New Roman"/>
                <w:szCs w:val="20"/>
              </w:rPr>
              <w:lastRenderedPageBreak/>
              <w:t xml:space="preserve">Wideband Doppler spectrum is calculated from the wideband time correlation function, given, as an example, by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3F2720">
              <w:rPr>
                <w:rFonts w:ascii="Times New Roman" w:hAnsi="Times New Roman"/>
                <w:noProof/>
                <w:position w:val="-11"/>
                <w:szCs w:val="20"/>
              </w:rPr>
              <w:pict>
                <v:shape id="_x0000_i1030" type="#_x0000_t75" alt="" style="width:53.2pt;height:17.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15F5&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715F5&quot; wsp:rsidP=&quot;006715F5&quot;&gt;&lt;m:oMathPara&gt;&lt;m:oMath&gt;&lt;m:r&gt;&lt;w:rPr&gt;&lt;w:rFonts w:ascii=&quot;Cambria Math&quot; w:h-ansi=&quot;Cambria Math&quot;/&gt;&lt;wx:font wx:val=&quot;Cambria Math&quot;/&gt;&lt;w:i/&gt;&lt;w:color w:val=&quot;000000&quot;/&gt;&lt;w:sz w:val=&quot;18&quot;/&gt;&lt;/w:rPr&gt;&lt;m:t&gt;A&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f&gt;&lt;m:fPr&gt;&lt;m:ctrlPr&gt;&lt;w:rPr&gt;&lt;w:rFonts w:ascii=&quot;Cambria Math&quot; w:h-ansi=&quot;Cambria Math&quot;/&gt;&lt;wx:font wx:val=&quot;Cambria Math&quot;/&gt;&lt;w:i/&gt;&lt;w:i-cs/&gt;&lt;w:color w:val=&quot;000000&quot;/&gt;&lt;w:sz w:val=&quot;18&quot;/&gt;&lt;/w:rPr&gt;&lt;/m:ctrlPr&gt;&lt;/m:fPr&gt;&lt;m:num&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num&gt;&lt;m:den&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0&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3F2720">
              <w:rPr>
                <w:rFonts w:ascii="Times New Roman" w:hAnsi="Times New Roman"/>
                <w:noProof/>
                <w:position w:val="-11"/>
                <w:szCs w:val="20"/>
              </w:rPr>
              <w:pict>
                <v:shape id="_x0000_i1029" type="#_x0000_t75" alt="" style="width:53.2pt;height:17.5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15F5&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715F5&quot; wsp:rsidP=&quot;006715F5&quot;&gt;&lt;m:oMathPara&gt;&lt;m:oMath&gt;&lt;m:r&gt;&lt;w:rPr&gt;&lt;w:rFonts w:ascii=&quot;Cambria Math&quot; w:h-ansi=&quot;Cambria Math&quot;/&gt;&lt;wx:font wx:val=&quot;Cambria Math&quot;/&gt;&lt;w:i/&gt;&lt;w:color w:val=&quot;000000&quot;/&gt;&lt;w:sz w:val=&quot;18&quot;/&gt;&lt;/w:rPr&gt;&lt;m:t&gt;A&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f&gt;&lt;m:fPr&gt;&lt;m:ctrlPr&gt;&lt;w:rPr&gt;&lt;w:rFonts w:ascii=&quot;Cambria Math&quot; w:h-ansi=&quot;Cambria Math&quot;/&gt;&lt;wx:font wx:val=&quot;Cambria Math&quot;/&gt;&lt;w:i/&gt;&lt;w:i-cs/&gt;&lt;w:color w:val=&quot;000000&quot;/&gt;&lt;w:sz w:val=&quot;18&quot;/&gt;&lt;/w:rPr&gt;&lt;/m:ctrlPr&gt;&lt;/m:fPr&gt;&lt;m:num&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num&gt;&lt;m:den&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0&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95F09">
              <w:rPr>
                <w:rFonts w:ascii="Times New Roman" w:hAnsi="Times New Roman"/>
                <w:szCs w:val="20"/>
              </w:rPr>
              <w:fldChar w:fldCharType="end"/>
            </w:r>
            <w:r w:rsidRPr="00295F09">
              <w:rPr>
                <w:rFonts w:ascii="Times New Roman" w:hAnsi="Times New Roman"/>
                <w:szCs w:val="20"/>
              </w:rPr>
              <w:t xml:space="preserve"> , where  </w:t>
            </w:r>
            <w:r w:rsidRPr="00295F09">
              <w:rPr>
                <w:rFonts w:ascii="Times New Roman" w:hAnsi="Times New Roman"/>
                <w:szCs w:val="20"/>
              </w:rPr>
              <w:fldChar w:fldCharType="begin"/>
            </w:r>
            <w:r w:rsidRPr="00295F09">
              <w:rPr>
                <w:rFonts w:ascii="Times New Roman" w:hAnsi="Times New Roman"/>
                <w:szCs w:val="20"/>
              </w:rPr>
              <w:instrText xml:space="preserve"> QUOTE </w:instrText>
            </w:r>
            <w:r w:rsidR="003F2720">
              <w:rPr>
                <w:rFonts w:ascii="Times New Roman" w:hAnsi="Times New Roman"/>
                <w:noProof/>
                <w:position w:val="-4"/>
                <w:szCs w:val="20"/>
              </w:rPr>
              <w:pict>
                <v:shape id="_x0000_i1028" type="#_x0000_t75" alt="" style="width:119.6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A6388&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A6388&quot; wsp:rsidP=&quot;006A6388&quot;&gt;&lt;m:oMathPara&gt;&lt;m:oMath&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nary&gt;&lt;m:naryPr&gt;&lt;m:chr m:val=&quot;‚àë&quot;/&gt;&lt;m:limLoc m:val=&quot;undOvr&quot;/&gt;&lt;m:ctrlPr&gt;&lt;w:rPr&gt;&lt;w:rFonts w:ascii=&quot;Cambria Math&quot; w:h-ansi=&quot;Cambria Math&quot;/&gt;&lt;wx:font wx:val=&quot;Cambria Math&quot;/&gt;&lt;w:color w:val=&quot;000000&quot;/&gt;&lt;w:sz w:val=&quot;18&quot;/&gt;&lt;/w:rPr&gt;&lt;/m:ctrlPr&gt;&lt;/m:naryPr&gt;&lt;m:sub&gt;&lt;m:r&gt;&lt;w:rPr&gt;&lt;w:rFonts w:ascii=&quot;Cambria Math&quot; w:h-ansi=&quot;Cambria Math&quot;/&gt;&lt;wx:font wx:val=&quot;Cambria Math&quot;/&gt;&lt;w:i/&gt;&lt;w:color w:val=&quot;000000&quot;/&gt;&lt;w:sz w:val=&quot;18&quot;/&gt;&lt;/w:rPr&gt;&lt;m:t&gt;n=0&lt;/m:t&gt;&lt;/m:r&gt;&lt;/m:sub&gt;&lt;m:sup&gt;&lt;m:r&gt;&lt;m:rPr&gt;&lt;m:sty m:val=&quot;p&quot;/&gt;&lt;/m:rPr&gt;&lt;w:rPr&gt;&lt;w:rFonts w:ascii=&quot;Cambria Math&quot; w:h-ansi=&quot;Cambria Math&quot;/&gt;&lt;wx:font wx:val=&quot;Cambria Math&quot;/&gt;&lt;w:color w:val=&quot;000000&quot;/&gt;&lt;w:sz w:val=&quot;18&quot;/&gt;&lt;/w:rPr&gt;&lt;m:t&gt;N&lt;/m:t&gt;&lt;/m:r&gt;&lt;m:r&gt;&lt;w:rPr&gt;&lt;w:rFonts w:ascii=&quot;Cambria Math&quot; w:h-ansi=&quot;Cambria Math&quot;/&gt;&lt;wx:font wx:val=&quot;Cambria Math&quot;/&gt;&lt;w:i/&gt;&lt;w:color w:val=&quot;000000&quot;/&gt;&lt;w:sz w:val=&quot;18&quot;/&gt;&lt;/w:rPr&gt;&lt;m:t&gt;-1&lt;/m:t&gt;&lt;/m:r&gt;&lt;/m:sup&gt;&lt;m:e&gt;&lt;m:sSub&gt;&lt;m:sSubPr&gt;&lt;m:ctrlPr&gt;&lt;w:rPr&gt;&lt;w:rFonts w:ascii=&quot;Cambria Math&quot; w:h-ansi=&quot;Cambria Math&quot;/&gt;&lt;wx:font wx:val=&quot;Cambria Math&quot;/&gt;&lt;w:color w:val=&quot;000000&quot;/&gt;&lt;w:sz w:val=&quot;18&quot;/&gt;&lt;/w:rPr&gt;&lt;/m:ctrlPr&gt;&lt;/m:sSubPr&gt;&lt;m:e&gt;&lt;m:r&gt;&lt;w:rPr&gt;&lt;w:rFonts w:ascii=&quot;Cambria Math&quot; w:h-ansi=&quot;Cambria Math&quot;/&gt;&lt;wx:font wx:val=&quot;Cambria Math&quot;/&gt;&lt;w:i/&gt;&lt;w:color w:val=&quot;000000&quot;/&gt;&lt;w:sz w:val=&quot;18&quot;/&gt;&lt;/w:rPr&gt;&lt;m:t&gt;h&lt;/m:t&gt;&lt;/m:r&gt;&lt;/m:e&gt;&lt;m:sub&gt;&lt;m:r&gt;&lt;w:rPr&gt;&lt;w:rFonts w:ascii=&quot;Cambria Math&quot; w:h-ansi=&quot;Cambria Math&quot;/&gt;&lt;wx:font wx:val=&quot;Cambria Math&quot;/&gt;&lt;w:i/&gt;&lt;w:color w:val=&quot;000000&quot;/&gt;&lt;w:sz w:val=&quot;18&quot;/&gt;&lt;/w:rPr&gt;&lt;m:t&gt;n&lt;/m:t&gt;&lt;/m:r&gt;&lt;/m:sub&gt;&lt;/m:sSub&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àô&lt;/m:t&gt;&lt;/m:r&gt;&lt;m:sSubSup&gt;&lt;m:sSubSupPr&gt;&lt;m:ctrlPr&gt;&lt;w:rPr&gt;&lt;w:rFonts w:ascii=&quot;Cambria Math&quot; w:h-ansi=&quot;Cambria Math&quot;/&gt;&lt;wx:font wx:val=&quot;Cambria Math&quot;/&gt;&lt;w:color w:val=&quot;000000&quot;/&gt;&lt;w:sz w:val=&quot;18&quot;/&gt;&lt;/w:rPr&gt;&lt;/m:ctrlPr&gt;&lt;/m:sSubSupPr&gt;&lt;m:e&gt;&lt;m:r&gt;&lt;w:rPr&gt;&lt;w:rFonts w:ascii=&quot;Cambria Math&quot; w:h-ansi=&quot;Cambria Math&quot;/&gt;&lt;wx:font wx:val=&quot;Cambria Math&quot;/&gt;&lt;w:i/&gt;&lt;w:color w:val=&quot;000000&quot;/&gt;&lt;w:sz w:val=&quot;18&quot;/&gt;&lt;/w:rPr&gt;&lt;m:t&gt;h&lt;/m:t&gt;&lt;/m:r&gt;&lt;/m:e&gt;&lt;m:sub&gt;&lt;m:r&gt;&lt;m:rPr&gt;&lt;m:sty m:val=&quot;p&quot;/&gt;&lt;/m:rPr&gt;&lt;w:rPr&gt;&lt;w:rFonts w:ascii=&quot;Cambria Math&quot; w:h-ansi=&quot;Cambria Math&quot;/&gt;&lt;wx:font wx:val=&quot;Cambria Math&quot;/&gt;&lt;w:color w:val=&quot;000000&quot;/&gt;&lt;w:sz w:val=&quot;18&quot;/&gt;&lt;/w:rPr&gt;&lt;m:t&gt;n&lt;/m:t&gt;&lt;/m:r&gt;&lt;/m:sub&gt;&lt;m:sup&gt;&lt;m:r&gt;&lt;w:rPr&gt;&lt;w:rFonts w:ascii=&quot;Cambria Math&quot; w:h-ansi=&quot;Cambria Math&quot;/&gt;&lt;wx:font wx:val=&quot;Cambria Math&quot;/&gt;&lt;w:i/&gt;&lt;w:color w:val=&quot;000000&quot;/&gt;&lt;w:sz w:val=&quot;18&quot;/&gt;&lt;/w:rPr&gt;&lt;m:t&gt;*&lt;/m:t&gt;&lt;/m:r&gt;&lt;/m:sup&gt;&lt;/m:sSubSup&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lt;/m:t&gt;&lt;/m:r&gt;&lt;/m:e&gt;&lt;/m:d&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295F09">
              <w:rPr>
                <w:rFonts w:ascii="Times New Roman" w:hAnsi="Times New Roman"/>
                <w:szCs w:val="20"/>
              </w:rPr>
              <w:instrText xml:space="preserve"> </w:instrText>
            </w:r>
            <w:r w:rsidRPr="00295F09">
              <w:rPr>
                <w:rFonts w:ascii="Times New Roman" w:hAnsi="Times New Roman"/>
                <w:szCs w:val="20"/>
              </w:rPr>
              <w:fldChar w:fldCharType="separate"/>
            </w:r>
            <w:r w:rsidR="003F2720">
              <w:rPr>
                <w:rFonts w:ascii="Times New Roman" w:hAnsi="Times New Roman"/>
                <w:noProof/>
                <w:position w:val="-4"/>
                <w:szCs w:val="20"/>
              </w:rPr>
              <w:pict>
                <v:shape id="_x0000_i1027" type="#_x0000_t75" alt="" style="width:119.6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A6388&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6A6388&quot; wsp:rsidP=&quot;006A6388&quot;&gt;&lt;m:oMathPara&gt;&lt;m:oMath&gt;&lt;m:r&gt;&lt;w:rPr&gt;&lt;w:rFonts w:ascii=&quot;Cambria Math&quot; w:h-ansi=&quot;Cambria Math&quot;/&gt;&lt;wx:font wx:val=&quot;Cambria Math&quot;/&gt;&lt;w:i/&gt;&lt;w:color w:val=&quot;000000&quot;/&gt;&lt;w:sz w:val=&quot;18&quot;/&gt;&lt;/w:rPr&gt;&lt;m:t&gt;c&lt;/m:t&gt;&lt;/m:r&gt;&lt;m:d&gt;&lt;m:dPr&gt;&lt;m:ctrlPr&gt;&lt;w:rPr&gt;&lt;w:rFonts w:ascii=&quot;Cambria Math&quot; w:h-ansi=&quot;Cambria Math&quot;/&gt;&lt;wx:font wx:val=&quot;Cambria Math&quot;/&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lt;/m:t&gt;&lt;/m:r&gt;&lt;m:nary&gt;&lt;m:naryPr&gt;&lt;m:chr m:val=&quot;‚àë&quot;/&gt;&lt;m:limLoc m:val=&quot;undOvr&quot;/&gt;&lt;m:ctrlPr&gt;&lt;w:rPr&gt;&lt;w:rFonts w:ascii=&quot;Cambria Math&quot; w:h-ansi=&quot;Cambria Math&quot;/&gt;&lt;wx:font wx:val=&quot;Cambria Math&quot;/&gt;&lt;w:color w:val=&quot;000000&quot;/&gt;&lt;w:sz w:val=&quot;18&quot;/&gt;&lt;/w:rPr&gt;&lt;/m:ctrlPr&gt;&lt;/m:naryPr&gt;&lt;m:sub&gt;&lt;m:r&gt;&lt;w:rPr&gt;&lt;w:rFonts w:ascii=&quot;Cambria Math&quot; w:h-ansi=&quot;Cambria Math&quot;/&gt;&lt;wx:font wx:val=&quot;Cambria Math&quot;/&gt;&lt;w:i/&gt;&lt;w:color w:val=&quot;000000&quot;/&gt;&lt;w:sz w:val=&quot;18&quot;/&gt;&lt;/w:rPr&gt;&lt;m:t&gt;n=0&lt;/m:t&gt;&lt;/m:r&gt;&lt;/m:sub&gt;&lt;m:sup&gt;&lt;m:r&gt;&lt;m:rPr&gt;&lt;m:sty m:val=&quot;p&quot;/&gt;&lt;/m:rPr&gt;&lt;w:rPr&gt;&lt;w:rFonts w:ascii=&quot;Cambria Math&quot; w:h-ansi=&quot;Cambria Math&quot;/&gt;&lt;wx:font wx:val=&quot;Cambria Math&quot;/&gt;&lt;w:color w:val=&quot;000000&quot;/&gt;&lt;w:sz w:val=&quot;18&quot;/&gt;&lt;/w:rPr&gt;&lt;m:t&gt;N&lt;/m:t&gt;&lt;/m:r&gt;&lt;m:r&gt;&lt;w:rPr&gt;&lt;w:rFonts w:ascii=&quot;Cambria Math&quot; w:h-ansi=&quot;Cambria Math&quot;/&gt;&lt;wx:font wx:val=&quot;Cambria Math&quot;/&gt;&lt;w:i/&gt;&lt;w:color w:val=&quot;000000&quot;/&gt;&lt;w:sz w:val=&quot;18&quot;/&gt;&lt;/w:rPr&gt;&lt;m:t&gt;-1&lt;/m:t&gt;&lt;/m:r&gt;&lt;/m:sup&gt;&lt;m:e&gt;&lt;m:sSub&gt;&lt;m:sSubPr&gt;&lt;m:ctrlPr&gt;&lt;w:rPr&gt;&lt;w:rFonts w:ascii=&quot;Cambria Math&quot; w:h-ansi=&quot;Cambria Math&quot;/&gt;&lt;wx:font wx:val=&quot;Cambria Math&quot;/&gt;&lt;w:color w:val=&quot;000000&quot;/&gt;&lt;w:sz w:val=&quot;18&quot;/&gt;&lt;/w:rPr&gt;&lt;/m:ctrlPr&gt;&lt;/m:sSubPr&gt;&lt;m:e&gt;&lt;m:r&gt;&lt;w:rPr&gt;&lt;w:rFonts w:ascii=&quot;Cambria Math&quot; w:h-ansi=&quot;Cambria Math&quot;/&gt;&lt;wx:font wx:val=&quot;Cambria Math&quot;/&gt;&lt;w:i/&gt;&lt;w:color w:val=&quot;000000&quot;/&gt;&lt;w:sz w:val=&quot;18&quot;/&gt;&lt;/w:rPr&gt;&lt;m:t&gt;h&lt;/m:t&gt;&lt;/m:r&gt;&lt;/m:e&gt;&lt;m:sub&gt;&lt;m:r&gt;&lt;w:rPr&gt;&lt;w:rFonts w:ascii=&quot;Cambria Math&quot; w:h-ansi=&quot;Cambria Math&quot;/&gt;&lt;wx:font wx:val=&quot;Cambria Math&quot;/&gt;&lt;w:i/&gt;&lt;w:color w:val=&quot;000000&quot;/&gt;&lt;w:sz w:val=&quot;18&quot;/&gt;&lt;/w:rPr&gt;&lt;m:t&gt;n&lt;/m:t&gt;&lt;/m:r&gt;&lt;/m:sub&gt;&lt;/m:sSub&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œÑ&lt;/m:t&gt;&lt;/m:r&gt;&lt;/m:e&gt;&lt;/m:d&gt;&lt;m:r&gt;&lt;w:rPr&gt;&lt;w:rFonts w:ascii=&quot;Cambria Math&quot; w:h-ansi=&quot;Cambria Math&quot;/&gt;&lt;wx:font wx:val=&quot;Cambria Math&quot;/&gt;&lt;w:i/&gt;&lt;w:color w:val=&quot;000000&quot;/&gt;&lt;w:sz w:val=&quot;18&quot;/&gt;&lt;/w:rPr&gt;&lt;m:t&gt;‚àô&lt;/m:t&gt;&lt;/m:r&gt;&lt;m:sSubSup&gt;&lt;m:sSubSupPr&gt;&lt;m:ctrlPr&gt;&lt;w:rPr&gt;&lt;w:rFonts w:ascii=&quot;Cambria Math&quot; w:h-ansi=&quot;Cambria Math&quot;/&gt;&lt;wx:font wx:val=&quot;Cambria Math&quot;/&gt;&lt;w:color w:val=&quot;000000&quot;/&gt;&lt;w:sz w:val=&quot;18&quot;/&gt;&lt;/w:rPr&gt;&lt;/m:ctrlPr&gt;&lt;/m:sSubSupPr&gt;&lt;m:e&gt;&lt;m:r&gt;&lt;w:rPr&gt;&lt;w:rFonts w:ascii=&quot;Cambria Math&quot; w:h-ansi=&quot;Cambria Math&quot;/&gt;&lt;wx:font wx:val=&quot;Cambria Math&quot;/&gt;&lt;w:i/&gt;&lt;w:color w:val=&quot;000000&quot;/&gt;&lt;w:sz w:val=&quot;18&quot;/&gt;&lt;/w:rPr&gt;&lt;m:t&gt;h&lt;/m:t&gt;&lt;/m:r&gt;&lt;/m:e&gt;&lt;m:sub&gt;&lt;m:r&gt;&lt;m:rPr&gt;&lt;m:sty m:val=&quot;p&quot;/&gt;&lt;/m:rPr&gt;&lt;w:rPr&gt;&lt;w:rFonts w:ascii=&quot;Cambria Math&quot; w:h-ansi=&quot;Cambria Math&quot;/&gt;&lt;wx:font wx:val=&quot;Cambria Math&quot;/&gt;&lt;w:color w:val=&quot;000000&quot;/&gt;&lt;w:sz w:val=&quot;18&quot;/&gt;&lt;/w:rPr&gt;&lt;m:t&gt;n&lt;/m:t&gt;&lt;/m:r&gt;&lt;/m:sub&gt;&lt;m:sup&gt;&lt;m:r&gt;&lt;w:rPr&gt;&lt;w:rFonts w:ascii=&quot;Cambria Math&quot; w:h-ansi=&quot;Cambria Math&quot;/&gt;&lt;wx:font wx:val=&quot;Cambria Math&quot;/&gt;&lt;w:i/&gt;&lt;w:color w:val=&quot;000000&quot;/&gt;&lt;w:sz w:val=&quot;18&quot;/&gt;&lt;/w:rPr&gt;&lt;m:t&gt;*&lt;/m:t&gt;&lt;/m:r&gt;&lt;/m:sup&gt;&lt;/m:sSubSup&gt;&lt;m:d&gt;&lt;m:dPr&gt;&lt;m:ctrlPr&gt;&lt;w:rPr&gt;&lt;w:rFonts w:ascii=&quot;Cambria Math&quot; w:h-ansi=&quot;Cambria Math&quot;/&gt;&lt;wx:font wx:val=&quot;Cambria Math&quot;/&gt;&lt;w:i/&gt;&lt;w:i-cs/&gt;&lt;w:color w:val=&quot;000000&quot;/&gt;&lt;w:sz w:val=&quot;18&quot;/&gt;&lt;/w:rPr&gt;&lt;/m:ctrlPr&gt;&lt;/m:dPr&gt;&lt;m:e&gt;&lt;m:r&gt;&lt;w:rPr&gt;&lt;w:rFonts w:ascii=&quot;Cambria Math&quot; w:h-ansi=&quot;Cambria Math&quot;/&gt;&lt;wx:font wx:val=&quot;Cambria Math&quot;/&gt;&lt;w:i/&gt;&lt;w:color w:val=&quot;000000&quot;/&gt;&lt;w:sz w:val=&quot;18&quot;/&gt;&lt;/w:rPr&gt;&lt;m:t&gt;t&lt;/m:t&gt;&lt;/m:r&gt;&lt;/m:e&gt;&lt;/m:d&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295F09">
              <w:rPr>
                <w:rFonts w:ascii="Times New Roman" w:hAnsi="Times New Roman"/>
                <w:szCs w:val="20"/>
              </w:rPr>
              <w:fldChar w:fldCharType="end"/>
            </w:r>
            <w:r w:rsidRPr="00295F09">
              <w:rPr>
                <w:rFonts w:ascii="Times New Roman" w:hAnsi="Times New Roman"/>
                <w:szCs w:val="20"/>
              </w:rPr>
              <w:t xml:space="preserve"> </w:t>
            </w:r>
            <w:r w:rsidRPr="00295F09">
              <w:rPr>
                <w:rFonts w:ascii="Times New Roman" w:hAnsi="Times New Roman"/>
                <w:szCs w:val="20"/>
                <w:lang w:eastAsia="en-GB"/>
              </w:rPr>
              <w:t xml:space="preserve">and </w:t>
            </w:r>
            <w:r w:rsidRPr="00295F09">
              <w:rPr>
                <w:rFonts w:ascii="Times New Roman" w:hAnsi="Times New Roman"/>
                <w:szCs w:val="20"/>
                <w:lang w:eastAsia="en-GB"/>
              </w:rPr>
              <w:fldChar w:fldCharType="begin"/>
            </w:r>
            <w:r w:rsidRPr="00295F09">
              <w:rPr>
                <w:rFonts w:ascii="Times New Roman" w:hAnsi="Times New Roman"/>
                <w:szCs w:val="20"/>
                <w:lang w:eastAsia="en-GB"/>
              </w:rPr>
              <w:instrText xml:space="preserve"> QUOTE </w:instrText>
            </w:r>
            <w:r w:rsidR="003F2720">
              <w:rPr>
                <w:rFonts w:ascii="Times New Roman" w:hAnsi="Times New Roman"/>
                <w:noProof/>
                <w:position w:val="-4"/>
                <w:szCs w:val="20"/>
              </w:rPr>
              <w:pict>
                <v:shape id="_x0000_i1026" type="#_x0000_t75" alt="" style="width:9.4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526F&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C526F&quot; wsp:rsidP=&quot;000C526F&quot;&gt;&lt;m:oMathPara&gt;&lt;m:oMath&gt;&lt;m:sSub&gt;&lt;m:sSubPr&gt;&lt;m:ctrlPr&gt;&lt;w:rPr&gt;&lt;w:rFonts w:ascii=&quot;Cambria Math&quot; w:h-ansi=&quot;Cambria Math&quot;/&gt;&lt;wx:font wx:val=&quot;Cambria Math&quot;/&gt;&lt;w:sz w:val=&quot;18&quot;/&gt;&lt;/w:rPr&gt;&lt;/m:ctrlPr&gt;&lt;/m:sSubPr&gt;&lt;m:e&gt;&lt;m:r&gt;&lt;w:rPr&gt;&lt;w:rFonts w:ascii=&quot;Cambria Math&quot; w:h-ansi=&quot;Cambria Math&quot;/&gt;&lt;wx:font wx:val=&quot;Cambria Math&quot;/&gt;&lt;w:i/&gt;&lt;w:sz w:val=&quot;18&quot;/&gt;&lt;w:lang w:fareast=&quot;EN-GB&quot;/&gt;&lt;/w:rPr&gt;&lt;m:t&gt;h&lt;/m:t&gt;&lt;/m:r&gt;&lt;/m:e&gt;&lt;m:sub&gt;&lt;m:r&gt;&lt;w:rPr&gt;&lt;w:rFonts w:ascii=&quot;Cambria Math&quot; w:h-ansi=&quot;Cambria Math&quot;/&gt;&lt;wx:font wx:val=&quot;Cambria Math&quot;/&gt;&lt;w:i/&gt;&lt;w:sz w:val=&quot;18&quot;/&gt;&lt;w:lang w:fareast=&quot;EN-GB&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95F09">
              <w:rPr>
                <w:rFonts w:ascii="Times New Roman" w:hAnsi="Times New Roman"/>
                <w:szCs w:val="20"/>
                <w:lang w:eastAsia="en-GB"/>
              </w:rPr>
              <w:instrText xml:space="preserve"> </w:instrText>
            </w:r>
            <w:r w:rsidRPr="00295F09">
              <w:rPr>
                <w:rFonts w:ascii="Times New Roman" w:hAnsi="Times New Roman"/>
                <w:szCs w:val="20"/>
                <w:lang w:eastAsia="en-GB"/>
              </w:rPr>
              <w:fldChar w:fldCharType="separate"/>
            </w:r>
            <w:r w:rsidR="003F2720">
              <w:rPr>
                <w:rFonts w:ascii="Times New Roman" w:hAnsi="Times New Roman"/>
                <w:noProof/>
                <w:position w:val="-4"/>
                <w:szCs w:val="20"/>
              </w:rPr>
              <w:pict>
                <v:shape id="_x0000_i1025" type="#_x0000_t75" alt="" style="width:9.4pt;height:11.2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2D17&quot;/&gt;&lt;wsp:rsid wsp:val=&quot;000037C7&quot;/&gt;&lt;wsp:rsid wsp:val=&quot;000049DC&quot;/&gt;&lt;wsp:rsid wsp:val=&quot;00006E91&quot;/&gt;&lt;wsp:rsid wsp:val=&quot;00010987&quot;/&gt;&lt;wsp:rsid wsp:val=&quot;00013876&quot;/&gt;&lt;wsp:rsid wsp:val=&quot;0001459F&quot;/&gt;&lt;wsp:rsid wsp:val=&quot;000154E8&quot;/&gt;&lt;wsp:rsid wsp:val=&quot;00016E70&quot;/&gt;&lt;wsp:rsid wsp:val=&quot;00017452&quot;/&gt;&lt;wsp:rsid wsp:val=&quot;00017C2A&quot;/&gt;&lt;wsp:rsid wsp:val=&quot;00017DD2&quot;/&gt;&lt;wsp:rsid wsp:val=&quot;000206F5&quot;/&gt;&lt;wsp:rsid wsp:val=&quot;00021963&quot;/&gt;&lt;wsp:rsid wsp:val=&quot;00021A46&quot;/&gt;&lt;wsp:rsid wsp:val=&quot;00027418&quot;/&gt;&lt;wsp:rsid wsp:val=&quot;00030E16&quot;/&gt;&lt;wsp:rsid wsp:val=&quot;00035C3D&quot;/&gt;&lt;wsp:rsid wsp:val=&quot;0004171B&quot;/&gt;&lt;wsp:rsid wsp:val=&quot;0004297E&quot;/&gt;&lt;wsp:rsid wsp:val=&quot;00052672&quot;/&gt;&lt;wsp:rsid wsp:val=&quot;00053611&quot;/&gt;&lt;wsp:rsid wsp:val=&quot;00054572&quot;/&gt;&lt;wsp:rsid wsp:val=&quot;00054DD5&quot;/&gt;&lt;wsp:rsid wsp:val=&quot;0005576D&quot;/&gt;&lt;wsp:rsid wsp:val=&quot;00060542&quot;/&gt;&lt;wsp:rsid wsp:val=&quot;000605DA&quot;/&gt;&lt;wsp:rsid wsp:val=&quot;0006220F&quot;/&gt;&lt;wsp:rsid wsp:val=&quot;00064372&quot;/&gt;&lt;wsp:rsid wsp:val=&quot;000654C2&quot;/&gt;&lt;wsp:rsid wsp:val=&quot;000660C8&quot;/&gt;&lt;wsp:rsid wsp:val=&quot;00070E52&quot;/&gt;&lt;wsp:rsid wsp:val=&quot;00073953&quot;/&gt;&lt;wsp:rsid wsp:val=&quot;00073C45&quot;/&gt;&lt;wsp:rsid wsp:val=&quot;00074A3E&quot;/&gt;&lt;wsp:rsid wsp:val=&quot;00076C50&quot;/&gt;&lt;wsp:rsid wsp:val=&quot;000809D1&quot;/&gt;&lt;wsp:rsid wsp:val=&quot;00083AB6&quot;/&gt;&lt;wsp:rsid wsp:val=&quot;00083BD5&quot;/&gt;&lt;wsp:rsid wsp:val=&quot;00083D4D&quot;/&gt;&lt;wsp:rsid wsp:val=&quot;000845D8&quot;/&gt;&lt;wsp:rsid wsp:val=&quot;00084952&quot;/&gt;&lt;wsp:rsid wsp:val=&quot;00085529&quot;/&gt;&lt;wsp:rsid wsp:val=&quot;00091BCB&quot;/&gt;&lt;wsp:rsid wsp:val=&quot;00092439&quot;/&gt;&lt;wsp:rsid wsp:val=&quot;00093585&quot;/&gt;&lt;wsp:rsid wsp:val=&quot;000942B3&quot;/&gt;&lt;wsp:rsid wsp:val=&quot;000A0641&quot;/&gt;&lt;wsp:rsid wsp:val=&quot;000A48DA&quot;/&gt;&lt;wsp:rsid wsp:val=&quot;000B11A6&quot;/&gt;&lt;wsp:rsid wsp:val=&quot;000B2B55&quot;/&gt;&lt;wsp:rsid wsp:val=&quot;000C256E&quot;/&gt;&lt;wsp:rsid wsp:val=&quot;000C525E&quot;/&gt;&lt;wsp:rsid wsp:val=&quot;000C526F&quot;/&gt;&lt;wsp:rsid wsp:val=&quot;000C748B&quot;/&gt;&lt;wsp:rsid wsp:val=&quot;000C74E2&quot;/&gt;&lt;wsp:rsid wsp:val=&quot;000C7A0C&quot;/&gt;&lt;wsp:rsid wsp:val=&quot;000D242E&quot;/&gt;&lt;wsp:rsid wsp:val=&quot;000D38C6&quot;/&gt;&lt;wsp:rsid wsp:val=&quot;000D54B5&quot;/&gt;&lt;wsp:rsid wsp:val=&quot;000D7D77&quot;/&gt;&lt;wsp:rsid wsp:val=&quot;000E13EC&quot;/&gt;&lt;wsp:rsid wsp:val=&quot;000E2C72&quot;/&gt;&lt;wsp:rsid wsp:val=&quot;000E4369&quot;/&gt;&lt;wsp:rsid wsp:val=&quot;000E474A&quot;/&gt;&lt;wsp:rsid wsp:val=&quot;000E5BCB&quot;/&gt;&lt;wsp:rsid wsp:val=&quot;000E67A5&quot;/&gt;&lt;wsp:rsid wsp:val=&quot;000E7117&quot;/&gt;&lt;wsp:rsid wsp:val=&quot;000F403C&quot;/&gt;&lt;wsp:rsid wsp:val=&quot;000F59B6&quot;/&gt;&lt;wsp:rsid wsp:val=&quot;000F59FD&quot;/&gt;&lt;wsp:rsid wsp:val=&quot;000F5EEF&quot;/&gt;&lt;wsp:rsid wsp:val=&quot;000F647A&quot;/&gt;&lt;wsp:rsid wsp:val=&quot;000F6E57&quot;/&gt;&lt;wsp:rsid wsp:val=&quot;0010230E&quot;/&gt;&lt;wsp:rsid wsp:val=&quot;00103337&quot;/&gt;&lt;wsp:rsid wsp:val=&quot;001040FA&quot;/&gt;&lt;wsp:rsid wsp:val=&quot;00106176&quot;/&gt;&lt;wsp:rsid wsp:val=&quot;001111D3&quot;/&gt;&lt;wsp:rsid wsp:val=&quot;00111908&quot;/&gt;&lt;wsp:rsid wsp:val=&quot;00117694&quot;/&gt;&lt;wsp:rsid wsp:val=&quot;001176DF&quot;/&gt;&lt;wsp:rsid wsp:val=&quot;00131CB0&quot;/&gt;&lt;wsp:rsid wsp:val=&quot;00132CBE&quot;/&gt;&lt;wsp:rsid wsp:val=&quot;00140E85&quot;/&gt;&lt;wsp:rsid wsp:val=&quot;00140FBF&quot;/&gt;&lt;wsp:rsid wsp:val=&quot;001435E4&quot;/&gt;&lt;wsp:rsid wsp:val=&quot;00143BF1&quot;/&gt;&lt;wsp:rsid wsp:val=&quot;0014584C&quot;/&gt;&lt;wsp:rsid wsp:val=&quot;0015176E&quot;/&gt;&lt;wsp:rsid wsp:val=&quot;00153AF7&quot;/&gt;&lt;wsp:rsid wsp:val=&quot;00156174&quot;/&gt;&lt;wsp:rsid wsp:val=&quot;001603EE&quot;/&gt;&lt;wsp:rsid wsp:val=&quot;0016549C&quot;/&gt;&lt;wsp:rsid wsp:val=&quot;00166A8A&quot;/&gt;&lt;wsp:rsid wsp:val=&quot;00166BB5&quot;/&gt;&lt;wsp:rsid wsp:val=&quot;00166FB4&quot;/&gt;&lt;wsp:rsid wsp:val=&quot;001671FB&quot;/&gt;&lt;wsp:rsid wsp:val=&quot;0017068E&quot;/&gt;&lt;wsp:rsid wsp:val=&quot;0017210B&quot;/&gt;&lt;wsp:rsid wsp:val=&quot;00175C93&quot;/&gt;&lt;wsp:rsid wsp:val=&quot;001777C6&quot;/&gt;&lt;wsp:rsid wsp:val=&quot;0018004F&quot;/&gt;&lt;wsp:rsid wsp:val=&quot;00181906&quot;/&gt;&lt;wsp:rsid wsp:val=&quot;00182437&quot;/&gt;&lt;wsp:rsid wsp:val=&quot;001839B0&quot;/&gt;&lt;wsp:rsid wsp:val=&quot;00184862&quot;/&gt;&lt;wsp:rsid wsp:val=&quot;00185BA6&quot;/&gt;&lt;wsp:rsid wsp:val=&quot;00185D17&quot;/&gt;&lt;wsp:rsid wsp:val=&quot;00186520&quot;/&gt;&lt;wsp:rsid wsp:val=&quot;00191256&quot;/&gt;&lt;wsp:rsid wsp:val=&quot;0019426E&quot;/&gt;&lt;wsp:rsid wsp:val=&quot;001962A7&quot;/&gt;&lt;wsp:rsid wsp:val=&quot;001A1026&quot;/&gt;&lt;wsp:rsid wsp:val=&quot;001A235A&quot;/&gt;&lt;wsp:rsid wsp:val=&quot;001A246A&quot;/&gt;&lt;wsp:rsid wsp:val=&quot;001A35F9&quot;/&gt;&lt;wsp:rsid wsp:val=&quot;001A58D7&quot;/&gt;&lt;wsp:rsid wsp:val=&quot;001A68A2&quot;/&gt;&lt;wsp:rsid wsp:val=&quot;001B141B&quot;/&gt;&lt;wsp:rsid wsp:val=&quot;001C3B8C&quot;/&gt;&lt;wsp:rsid wsp:val=&quot;001C40D9&quot;/&gt;&lt;wsp:rsid wsp:val=&quot;001C5433&quot;/&gt;&lt;wsp:rsid wsp:val=&quot;001C5621&quot;/&gt;&lt;wsp:rsid wsp:val=&quot;001C74BE&quot;/&gt;&lt;wsp:rsid wsp:val=&quot;001D150F&quot;/&gt;&lt;wsp:rsid wsp:val=&quot;001D2AE5&quot;/&gt;&lt;wsp:rsid wsp:val=&quot;001D37C9&quot;/&gt;&lt;wsp:rsid wsp:val=&quot;001D4A33&quot;/&gt;&lt;wsp:rsid wsp:val=&quot;001D52A5&quot;/&gt;&lt;wsp:rsid wsp:val=&quot;001D6536&quot;/&gt;&lt;wsp:rsid wsp:val=&quot;001D7AE8&quot;/&gt;&lt;wsp:rsid wsp:val=&quot;001E0A16&quot;/&gt;&lt;wsp:rsid wsp:val=&quot;001E24B7&quot;/&gt;&lt;wsp:rsid wsp:val=&quot;001E630D&quot;/&gt;&lt;wsp:rsid wsp:val=&quot;001F0301&quot;/&gt;&lt;wsp:rsid wsp:val=&quot;001F0609&quot;/&gt;&lt;wsp:rsid wsp:val=&quot;001F0B04&quot;/&gt;&lt;wsp:rsid wsp:val=&quot;001F2C8F&quot;/&gt;&lt;wsp:rsid wsp:val=&quot;001F3FF4&quot;/&gt;&lt;wsp:rsid wsp:val=&quot;001F6102&quot;/&gt;&lt;wsp:rsid wsp:val=&quot;001F7766&quot;/&gt;&lt;wsp:rsid wsp:val=&quot;00202C71&quot;/&gt;&lt;wsp:rsid wsp:val=&quot;0020560A&quot;/&gt;&lt;wsp:rsid wsp:val=&quot;00205A7D&quot;/&gt;&lt;wsp:rsid wsp:val=&quot;00207C8A&quot;/&gt;&lt;wsp:rsid wsp:val=&quot;00211448&quot;/&gt;&lt;wsp:rsid wsp:val=&quot;00213BCA&quot;/&gt;&lt;wsp:rsid wsp:val=&quot;002148DC&quot;/&gt;&lt;wsp:rsid wsp:val=&quot;00214D7E&quot;/&gt;&lt;wsp:rsid wsp:val=&quot;00214F2A&quot;/&gt;&lt;wsp:rsid wsp:val=&quot;0021560C&quot;/&gt;&lt;wsp:rsid wsp:val=&quot;0021684F&quot;/&gt;&lt;wsp:rsid wsp:val=&quot;00217A93&quot;/&gt;&lt;wsp:rsid wsp:val=&quot;002216DD&quot;/&gt;&lt;wsp:rsid wsp:val=&quot;00221E20&quot;/&gt;&lt;wsp:rsid wsp:val=&quot;00222232&quot;/&gt;&lt;wsp:rsid wsp:val=&quot;0022746E&quot;/&gt;&lt;wsp:rsid wsp:val=&quot;00227F9C&quot;/&gt;&lt;wsp:rsid wsp:val=&quot;00230BD9&quot;/&gt;&lt;wsp:rsid wsp:val=&quot;002318A4&quot;/&gt;&lt;wsp:rsid wsp:val=&quot;00237671&quot;/&gt;&lt;wsp:rsid wsp:val=&quot;002403C8&quot;/&gt;&lt;wsp:rsid wsp:val=&quot;002418CB&quot;/&gt;&lt;wsp:rsid wsp:val=&quot;00246843&quot;/&gt;&lt;wsp:rsid wsp:val=&quot;002505DA&quot;/&gt;&lt;wsp:rsid wsp:val=&quot;0025224B&quot;/&gt;&lt;wsp:rsid wsp:val=&quot;00253F47&quot;/&gt;&lt;wsp:rsid wsp:val=&quot;0025466B&quot;/&gt;&lt;wsp:rsid wsp:val=&quot;00254A9D&quot;/&gt;&lt;wsp:rsid wsp:val=&quot;00255925&quot;/&gt;&lt;wsp:rsid wsp:val=&quot;00256228&quot;/&gt;&lt;wsp:rsid wsp:val=&quot;0025787C&quot;/&gt;&lt;wsp:rsid wsp:val=&quot;00262BFF&quot;/&gt;&lt;wsp:rsid wsp:val=&quot;00265760&quot;/&gt;&lt;wsp:rsid wsp:val=&quot;002716DE&quot;/&gt;&lt;wsp:rsid wsp:val=&quot;00271CD9&quot;/&gt;&lt;wsp:rsid wsp:val=&quot;00277E09&quot;/&gt;&lt;wsp:rsid wsp:val=&quot;00277FBD&quot;/&gt;&lt;wsp:rsid wsp:val=&quot;00282066&quot;/&gt;&lt;wsp:rsid wsp:val=&quot;00282E2C&quot;/&gt;&lt;wsp:rsid wsp:val=&quot;00286BC5&quot;/&gt;&lt;wsp:rsid wsp:val=&quot;002870FB&quot;/&gt;&lt;wsp:rsid wsp:val=&quot;00287DA8&quot;/&gt;&lt;wsp:rsid wsp:val=&quot;00290918&quot;/&gt;&lt;wsp:rsid wsp:val=&quot;00293C36&quot;/&gt;&lt;wsp:rsid wsp:val=&quot;00293DB3&quot;/&gt;&lt;wsp:rsid wsp:val=&quot;0029433B&quot;/&gt;&lt;wsp:rsid wsp:val=&quot;002958D4&quot;/&gt;&lt;wsp:rsid wsp:val=&quot;0029757E&quot;/&gt;&lt;wsp:rsid wsp:val=&quot;002975B2&quot;/&gt;&lt;wsp:rsid wsp:val=&quot;00297F24&quot;/&gt;&lt;wsp:rsid wsp:val=&quot;002A1E7D&quot;/&gt;&lt;wsp:rsid wsp:val=&quot;002A6961&quot;/&gt;&lt;wsp:rsid wsp:val=&quot;002B0873&quot;/&gt;&lt;wsp:rsid wsp:val=&quot;002B1FFA&quot;/&gt;&lt;wsp:rsid wsp:val=&quot;002B3F07&quot;/&gt;&lt;wsp:rsid wsp:val=&quot;002B4B78&quot;/&gt;&lt;wsp:rsid wsp:val=&quot;002B544D&quot;/&gt;&lt;wsp:rsid wsp:val=&quot;002B6E04&quot;/&gt;&lt;wsp:rsid wsp:val=&quot;002B6E21&quot;/&gt;&lt;wsp:rsid wsp:val=&quot;002C7702&quot;/&gt;&lt;wsp:rsid wsp:val=&quot;002D069A&quot;/&gt;&lt;wsp:rsid wsp:val=&quot;002D152B&quot;/&gt;&lt;wsp:rsid wsp:val=&quot;002D4D40&quot;/&gt;&lt;wsp:rsid wsp:val=&quot;002D5987&quot;/&gt;&lt;wsp:rsid wsp:val=&quot;002E1DF6&quot;/&gt;&lt;wsp:rsid wsp:val=&quot;002F1271&quot;/&gt;&lt;wsp:rsid wsp:val=&quot;002F40CD&quot;/&gt;&lt;wsp:rsid wsp:val=&quot;002F4411&quot;/&gt;&lt;wsp:rsid wsp:val=&quot;002F4938&quot;/&gt;&lt;wsp:rsid wsp:val=&quot;002F7271&quot;/&gt;&lt;wsp:rsid wsp:val=&quot;00304AAF&quot;/&gt;&lt;wsp:rsid wsp:val=&quot;0031266E&quot;/&gt;&lt;wsp:rsid wsp:val=&quot;00316115&quot;/&gt;&lt;wsp:rsid wsp:val=&quot;003161EF&quot;/&gt;&lt;wsp:rsid wsp:val=&quot;00321616&quot;/&gt;&lt;wsp:rsid wsp:val=&quot;00321635&quot;/&gt;&lt;wsp:rsid wsp:val=&quot;003218BF&quot;/&gt;&lt;wsp:rsid wsp:val=&quot;0032301D&quot;/&gt;&lt;wsp:rsid wsp:val=&quot;003230FF&quot;/&gt;&lt;wsp:rsid wsp:val=&quot;003234F6&quot;/&gt;&lt;wsp:rsid wsp:val=&quot;003239DA&quot;/&gt;&lt;wsp:rsid wsp:val=&quot;003269DE&quot;/&gt;&lt;wsp:rsid wsp:val=&quot;0033037F&quot;/&gt;&lt;wsp:rsid wsp:val=&quot;0033415A&quot;/&gt;&lt;wsp:rsid wsp:val=&quot;00334D5B&quot;/&gt;&lt;wsp:rsid wsp:val=&quot;00336948&quot;/&gt;&lt;wsp:rsid wsp:val=&quot;00336AA9&quot;/&gt;&lt;wsp:rsid wsp:val=&quot;00340152&quot;/&gt;&lt;wsp:rsid wsp:val=&quot;00343017&quot;/&gt;&lt;wsp:rsid wsp:val=&quot;00343A55&quot;/&gt;&lt;wsp:rsid wsp:val=&quot;00344305&quot;/&gt;&lt;wsp:rsid wsp:val=&quot;00345EEA&quot;/&gt;&lt;wsp:rsid wsp:val=&quot;0035057C&quot;/&gt;&lt;wsp:rsid wsp:val=&quot;003521DB&quot;/&gt;&lt;wsp:rsid wsp:val=&quot;00354221&quot;/&gt;&lt;wsp:rsid wsp:val=&quot;003544C1&quot;/&gt;&lt;wsp:rsid wsp:val=&quot;0035687C&quot;/&gt;&lt;wsp:rsid wsp:val=&quot;00356DDB&quot;/&gt;&lt;wsp:rsid wsp:val=&quot;0036084B&quot;/&gt;&lt;wsp:rsid wsp:val=&quot;00360B48&quot;/&gt;&lt;wsp:rsid wsp:val=&quot;00363209&quot;/&gt;&lt;wsp:rsid wsp:val=&quot;00364947&quot;/&gt;&lt;wsp:rsid wsp:val=&quot;00364DF3&quot;/&gt;&lt;wsp:rsid wsp:val=&quot;003653F4&quot;/&gt;&lt;wsp:rsid wsp:val=&quot;00365442&quot;/&gt;&lt;wsp:rsid wsp:val=&quot;00367132&quot;/&gt;&lt;wsp:rsid wsp:val=&quot;003713F7&quot;/&gt;&lt;wsp:rsid wsp:val=&quot;003716F6&quot;/&gt;&lt;wsp:rsid wsp:val=&quot;0037212B&quot;/&gt;&lt;wsp:rsid wsp:val=&quot;00373044&quot;/&gt;&lt;wsp:rsid wsp:val=&quot;00380E04&quot;/&gt;&lt;wsp:rsid wsp:val=&quot;00381F0B&quot;/&gt;&lt;wsp:rsid wsp:val=&quot;00382901&quot;/&gt;&lt;wsp:rsid wsp:val=&quot;00385726&quot;/&gt;&lt;wsp:rsid wsp:val=&quot;00387D1C&quot;/&gt;&lt;wsp:rsid wsp:val=&quot;003905FE&quot;/&gt;&lt;wsp:rsid wsp:val=&quot;00392A3A&quot;/&gt;&lt;wsp:rsid wsp:val=&quot;00395BA5&quot;/&gt;&lt;wsp:rsid wsp:val=&quot;003A135F&quot;/&gt;&lt;wsp:rsid wsp:val=&quot;003A3C70&quot;/&gt;&lt;wsp:rsid wsp:val=&quot;003A4607&quot;/&gt;&lt;wsp:rsid wsp:val=&quot;003A6B10&quot;/&gt;&lt;wsp:rsid wsp:val=&quot;003B00F0&quot;/&gt;&lt;wsp:rsid wsp:val=&quot;003B0BF8&quot;/&gt;&lt;wsp:rsid wsp:val=&quot;003B3DC0&quot;/&gt;&lt;wsp:rsid wsp:val=&quot;003B4EE1&quot;/&gt;&lt;wsp:rsid wsp:val=&quot;003B51CB&quot;/&gt;&lt;wsp:rsid wsp:val=&quot;003B5963&quot;/&gt;&lt;wsp:rsid wsp:val=&quot;003B6548&quot;/&gt;&lt;wsp:rsid wsp:val=&quot;003C0202&quot;/&gt;&lt;wsp:rsid wsp:val=&quot;003C043F&quot;/&gt;&lt;wsp:rsid wsp:val=&quot;003C14E8&quot;/&gt;&lt;wsp:rsid wsp:val=&quot;003C4A13&quot;/&gt;&lt;wsp:rsid wsp:val=&quot;003C58CA&quot;/&gt;&lt;wsp:rsid wsp:val=&quot;003D33A8&quot;/&gt;&lt;wsp:rsid wsp:val=&quot;003D4016&quot;/&gt;&lt;wsp:rsid wsp:val=&quot;003D4FFD&quot;/&gt;&lt;wsp:rsid wsp:val=&quot;003D616E&quot;/&gt;&lt;wsp:rsid wsp:val=&quot;003E0305&quot;/&gt;&lt;wsp:rsid wsp:val=&quot;003E09BA&quot;/&gt;&lt;wsp:rsid wsp:val=&quot;003E24A6&quot;/&gt;&lt;wsp:rsid wsp:val=&quot;003E415B&quot;/&gt;&lt;wsp:rsid wsp:val=&quot;003E6586&quot;/&gt;&lt;wsp:rsid wsp:val=&quot;003E7642&quot;/&gt;&lt;wsp:rsid wsp:val=&quot;003F4797&quot;/&gt;&lt;wsp:rsid wsp:val=&quot;003F47B5&quot;/&gt;&lt;wsp:rsid wsp:val=&quot;003F5B5F&quot;/&gt;&lt;wsp:rsid wsp:val=&quot;003F6875&quot;/&gt;&lt;wsp:rsid wsp:val=&quot;003F6C88&quot;/&gt;&lt;wsp:rsid wsp:val=&quot;004027C5&quot;/&gt;&lt;wsp:rsid wsp:val=&quot;00404B14&quot;/&gt;&lt;wsp:rsid wsp:val=&quot;004109C3&quot;/&gt;&lt;wsp:rsid wsp:val=&quot;004118D5&quot;/&gt;&lt;wsp:rsid wsp:val=&quot;00413B4E&quot;/&gt;&lt;wsp:rsid wsp:val=&quot;00414181&quot;/&gt;&lt;wsp:rsid wsp:val=&quot;00416FB2&quot;/&gt;&lt;wsp:rsid wsp:val=&quot;004206FA&quot;/&gt;&lt;wsp:rsid wsp:val=&quot;0042411D&quot;/&gt;&lt;wsp:rsid wsp:val=&quot;0042594C&quot;/&gt;&lt;wsp:rsid wsp:val=&quot;00431123&quot;/&gt;&lt;wsp:rsid wsp:val=&quot;00431E83&quot;/&gt;&lt;wsp:rsid wsp:val=&quot;00432F62&quot;/&gt;&lt;wsp:rsid wsp:val=&quot;00433E36&quot;/&gt;&lt;wsp:rsid wsp:val=&quot;00437B5E&quot;/&gt;&lt;wsp:rsid wsp:val=&quot;004470F2&quot;/&gt;&lt;wsp:rsid wsp:val=&quot;0045376A&quot;/&gt;&lt;wsp:rsid wsp:val=&quot;00455581&quot;/&gt;&lt;wsp:rsid wsp:val=&quot;004604FD&quot;/&gt;&lt;wsp:rsid wsp:val=&quot;00460DBF&quot;/&gt;&lt;wsp:rsid wsp:val=&quot;004611D6&quot;/&gt;&lt;wsp:rsid wsp:val=&quot;00462878&quot;/&gt;&lt;wsp:rsid wsp:val=&quot;00462B6B&quot;/&gt;&lt;wsp:rsid wsp:val=&quot;00462B81&quot;/&gt;&lt;wsp:rsid wsp:val=&quot;00462BD0&quot;/&gt;&lt;wsp:rsid wsp:val=&quot;0047318D&quot;/&gt;&lt;wsp:rsid wsp:val=&quot;004734E4&quot;/&gt;&lt;wsp:rsid wsp:val=&quot;00481B44&quot;/&gt;&lt;wsp:rsid wsp:val=&quot;0048579F&quot;/&gt;&lt;wsp:rsid wsp:val=&quot;00486464&quot;/&gt;&lt;wsp:rsid wsp:val=&quot;0049013E&quot;/&gt;&lt;wsp:rsid wsp:val=&quot;004902E0&quot;/&gt;&lt;wsp:rsid wsp:val=&quot;00490947&quot;/&gt;&lt;wsp:rsid wsp:val=&quot;004910AC&quot;/&gt;&lt;wsp:rsid wsp:val=&quot;0049258D&quot;/&gt;&lt;wsp:rsid wsp:val=&quot;00493DEF&quot;/&gt;&lt;wsp:rsid wsp:val=&quot;0049422F&quot;/&gt;&lt;wsp:rsid wsp:val=&quot;004945F3&quot;/&gt;&lt;wsp:rsid wsp:val=&quot;004952EA&quot;/&gt;&lt;wsp:rsid wsp:val=&quot;00495CF3&quot;/&gt;&lt;wsp:rsid wsp:val=&quot;004A0F44&quot;/&gt;&lt;wsp:rsid wsp:val=&quot;004A12C6&quot;/&gt;&lt;wsp:rsid wsp:val=&quot;004A3A9C&quot;/&gt;&lt;wsp:rsid wsp:val=&quot;004A3FB8&quot;/&gt;&lt;wsp:rsid wsp:val=&quot;004A4C3E&quot;/&gt;&lt;wsp:rsid wsp:val=&quot;004A5270&quot;/&gt;&lt;wsp:rsid wsp:val=&quot;004A7E9C&quot;/&gt;&lt;wsp:rsid wsp:val=&quot;004B2271&quot;/&gt;&lt;wsp:rsid wsp:val=&quot;004C0957&quot;/&gt;&lt;wsp:rsid wsp:val=&quot;004C1070&quot;/&gt;&lt;wsp:rsid wsp:val=&quot;004C20CB&quot;/&gt;&lt;wsp:rsid wsp:val=&quot;004C2920&quot;/&gt;&lt;wsp:rsid wsp:val=&quot;004C3E45&quot;/&gt;&lt;wsp:rsid wsp:val=&quot;004C5181&quot;/&gt;&lt;wsp:rsid wsp:val=&quot;004C6C1E&quot;/&gt;&lt;wsp:rsid wsp:val=&quot;004C7A79&quot;/&gt;&lt;wsp:rsid wsp:val=&quot;004D085B&quot;/&gt;&lt;wsp:rsid wsp:val=&quot;004D1347&quot;/&gt;&lt;wsp:rsid wsp:val=&quot;004D31D3&quot;/&gt;&lt;wsp:rsid wsp:val=&quot;004D53DD&quot;/&gt;&lt;wsp:rsid wsp:val=&quot;004D6470&quot;/&gt;&lt;wsp:rsid wsp:val=&quot;004E0FF1&quot;/&gt;&lt;wsp:rsid wsp:val=&quot;004E14BC&quot;/&gt;&lt;wsp:rsid wsp:val=&quot;004E1D02&quot;/&gt;&lt;wsp:rsid wsp:val=&quot;004E1DF7&quot;/&gt;&lt;wsp:rsid wsp:val=&quot;004E1E2B&quot;/&gt;&lt;wsp:rsid wsp:val=&quot;004E40C3&quot;/&gt;&lt;wsp:rsid wsp:val=&quot;004E45EE&quot;/&gt;&lt;wsp:rsid wsp:val=&quot;004E4D94&quot;/&gt;&lt;wsp:rsid wsp:val=&quot;004E55C0&quot;/&gt;&lt;wsp:rsid wsp:val=&quot;004F5FE6&quot;/&gt;&lt;wsp:rsid wsp:val=&quot;004F7BC8&quot;/&gt;&lt;wsp:rsid wsp:val=&quot;005104F5&quot;/&gt;&lt;wsp:rsid wsp:val=&quot;005119C5&quot;/&gt;&lt;wsp:rsid wsp:val=&quot;005121D4&quot;/&gt;&lt;wsp:rsid wsp:val=&quot;0051246A&quot;/&gt;&lt;wsp:rsid wsp:val=&quot;00514701&quot;/&gt;&lt;wsp:rsid wsp:val=&quot;00521FA7&quot;/&gt;&lt;wsp:rsid wsp:val=&quot;00522F03&quot;/&gt;&lt;wsp:rsid wsp:val=&quot;00524E96&quot;/&gt;&lt;wsp:rsid wsp:val=&quot;00532D8C&quot;/&gt;&lt;wsp:rsid wsp:val=&quot;00543B8A&quot;/&gt;&lt;wsp:rsid wsp:val=&quot;00543D18&quot;/&gt;&lt;wsp:rsid wsp:val=&quot;005454A0&quot;/&gt;&lt;wsp:rsid wsp:val=&quot;00545925&quot;/&gt;&lt;wsp:rsid wsp:val=&quot;00546026&quot;/&gt;&lt;wsp:rsid wsp:val=&quot;00546BEF&quot;/&gt;&lt;wsp:rsid wsp:val=&quot;005475B9&quot;/&gt;&lt;wsp:rsid wsp:val=&quot;00547AEB&quot;/&gt;&lt;wsp:rsid wsp:val=&quot;00551343&quot;/&gt;&lt;wsp:rsid wsp:val=&quot;0055191C&quot;/&gt;&lt;wsp:rsid wsp:val=&quot;005519E2&quot;/&gt;&lt;wsp:rsid wsp:val=&quot;00551A39&quot;/&gt;&lt;wsp:rsid wsp:val=&quot;00551A96&quot;/&gt;&lt;wsp:rsid wsp:val=&quot;00551C16&quot;/&gt;&lt;wsp:rsid wsp:val=&quot;00553E3A&quot;/&gt;&lt;wsp:rsid wsp:val=&quot;00554E95&quot;/&gt;&lt;wsp:rsid wsp:val=&quot;00555D7C&quot;/&gt;&lt;wsp:rsid wsp:val=&quot;00556A4D&quot;/&gt;&lt;wsp:rsid wsp:val=&quot;00560E13&quot;/&gt;&lt;wsp:rsid wsp:val=&quot;00562D7B&quot;/&gt;&lt;wsp:rsid wsp:val=&quot;005634EC&quot;/&gt;&lt;wsp:rsid wsp:val=&quot;0056486C&quot;/&gt;&lt;wsp:rsid wsp:val=&quot;00565F8A&quot;/&gt;&lt;wsp:rsid wsp:val=&quot;0056693D&quot;/&gt;&lt;wsp:rsid wsp:val=&quot;00570536&quot;/&gt;&lt;wsp:rsid wsp:val=&quot;00571A20&quot;/&gt;&lt;wsp:rsid wsp:val=&quot;00571B80&quot;/&gt;&lt;wsp:rsid wsp:val=&quot;00574807&quot;/&gt;&lt;wsp:rsid wsp:val=&quot;00575D08&quot;/&gt;&lt;wsp:rsid wsp:val=&quot;005765F4&quot;/&gt;&lt;wsp:rsid wsp:val=&quot;00585CC3&quot;/&gt;&lt;wsp:rsid wsp:val=&quot;00587DE1&quot;/&gt;&lt;wsp:rsid wsp:val=&quot;00590D21&quot;/&gt;&lt;wsp:rsid wsp:val=&quot;00592293&quot;/&gt;&lt;wsp:rsid wsp:val=&quot;00592636&quot;/&gt;&lt;wsp:rsid wsp:val=&quot;005936B6&quot;/&gt;&lt;wsp:rsid wsp:val=&quot;0059417F&quot;/&gt;&lt;wsp:rsid wsp:val=&quot;005943E5&quot;/&gt;&lt;wsp:rsid wsp:val=&quot;00595848&quot;/&gt;&lt;wsp:rsid wsp:val=&quot;00595D38&quot;/&gt;&lt;wsp:rsid wsp:val=&quot;005A1FDC&quot;/&gt;&lt;wsp:rsid wsp:val=&quot;005A4C61&quot;/&gt;&lt;wsp:rsid wsp:val=&quot;005A4D0D&quot;/&gt;&lt;wsp:rsid wsp:val=&quot;005A67E4&quot;/&gt;&lt;wsp:rsid wsp:val=&quot;005B096E&quot;/&gt;&lt;wsp:rsid wsp:val=&quot;005B25BC&quot;/&gt;&lt;wsp:rsid wsp:val=&quot;005B374C&quot;/&gt;&lt;wsp:rsid wsp:val=&quot;005C0086&quot;/&gt;&lt;wsp:rsid wsp:val=&quot;005C0091&quot;/&gt;&lt;wsp:rsid wsp:val=&quot;005C0A38&quot;/&gt;&lt;wsp:rsid wsp:val=&quot;005C3943&quot;/&gt;&lt;wsp:rsid wsp:val=&quot;005C5775&quot;/&gt;&lt;wsp:rsid wsp:val=&quot;005D0180&quot;/&gt;&lt;wsp:rsid wsp:val=&quot;005D08B4&quot;/&gt;&lt;wsp:rsid wsp:val=&quot;005D32B2&quot;/&gt;&lt;wsp:rsid wsp:val=&quot;005D3727&quot;/&gt;&lt;wsp:rsid wsp:val=&quot;005D4467&quot;/&gt;&lt;wsp:rsid wsp:val=&quot;005E1E3F&quot;/&gt;&lt;wsp:rsid wsp:val=&quot;005E1F74&quot;/&gt;&lt;wsp:rsid wsp:val=&quot;005E4C37&quot;/&gt;&lt;wsp:rsid wsp:val=&quot;005F1309&quot;/&gt;&lt;wsp:rsid wsp:val=&quot;005F3B9E&quot;/&gt;&lt;wsp:rsid wsp:val=&quot;005F71B1&quot;/&gt;&lt;wsp:rsid wsp:val=&quot;005F7940&quot;/&gt;&lt;wsp:rsid wsp:val=&quot;006024CB&quot;/&gt;&lt;wsp:rsid wsp:val=&quot;0060301B&quot;/&gt;&lt;wsp:rsid wsp:val=&quot;00603782&quot;/&gt;&lt;wsp:rsid wsp:val=&quot;00604D89&quot;/&gt;&lt;wsp:rsid wsp:val=&quot;0060570E&quot;/&gt;&lt;wsp:rsid wsp:val=&quot;00613ABD&quot;/&gt;&lt;wsp:rsid wsp:val=&quot;0061524B&quot;/&gt;&lt;wsp:rsid wsp:val=&quot;00615EF6&quot;/&gt;&lt;wsp:rsid wsp:val=&quot;0061650F&quot;/&gt;&lt;wsp:rsid wsp:val=&quot;00623D44&quot;/&gt;&lt;wsp:rsid wsp:val=&quot;00624E43&quot;/&gt;&lt;wsp:rsid wsp:val=&quot;00625E37&quot;/&gt;&lt;wsp:rsid wsp:val=&quot;006322FD&quot;/&gt;&lt;wsp:rsid wsp:val=&quot;00640051&quot;/&gt;&lt;wsp:rsid wsp:val=&quot;00642348&quot;/&gt;&lt;wsp:rsid wsp:val=&quot;00645884&quot;/&gt;&lt;wsp:rsid wsp:val=&quot;00645CFD&quot;/&gt;&lt;wsp:rsid wsp:val=&quot;00645E6A&quot;/&gt;&lt;wsp:rsid wsp:val=&quot;006466CF&quot;/&gt;&lt;wsp:rsid wsp:val=&quot;00652E08&quot;/&gt;&lt;wsp:rsid wsp:val=&quot;0065303B&quot;/&gt;&lt;wsp:rsid wsp:val=&quot;00653AE7&quot;/&gt;&lt;wsp:rsid wsp:val=&quot;00657C23&quot;/&gt;&lt;wsp:rsid wsp:val=&quot;006656BB&quot;/&gt;&lt;wsp:rsid wsp:val=&quot;00666238&quot;/&gt;&lt;wsp:rsid wsp:val=&quot;0067112D&quot;/&gt;&lt;wsp:rsid wsp:val=&quot;00673FC7&quot;/&gt;&lt;wsp:rsid wsp:val=&quot;00674A65&quot;/&gt;&lt;wsp:rsid wsp:val=&quot;006753E6&quot;/&gt;&lt;wsp:rsid wsp:val=&quot;00680AC0&quot;/&gt;&lt;wsp:rsid wsp:val=&quot;00683F5D&quot;/&gt;&lt;wsp:rsid wsp:val=&quot;0068442B&quot;/&gt;&lt;wsp:rsid wsp:val=&quot;00684F21&quot;/&gt;&lt;wsp:rsid wsp:val=&quot;00692B13&quot;/&gt;&lt;wsp:rsid wsp:val=&quot;0069331A&quot;/&gt;&lt;wsp:rsid wsp:val=&quot;0069360C&quot;/&gt;&lt;wsp:rsid wsp:val=&quot;0069635A&quot;/&gt;&lt;wsp:rsid wsp:val=&quot;0069736D&quot;/&gt;&lt;wsp:rsid wsp:val=&quot;006978E1&quot;/&gt;&lt;wsp:rsid wsp:val=&quot;006A3605&quot;/&gt;&lt;wsp:rsid wsp:val=&quot;006A45C1&quot;/&gt;&lt;wsp:rsid wsp:val=&quot;006A6154&quot;/&gt;&lt;wsp:rsid wsp:val=&quot;006B1194&quot;/&gt;&lt;wsp:rsid wsp:val=&quot;006B2A42&quot;/&gt;&lt;wsp:rsid wsp:val=&quot;006B2FA0&quot;/&gt;&lt;wsp:rsid wsp:val=&quot;006B3BB5&quot;/&gt;&lt;wsp:rsid wsp:val=&quot;006B4237&quot;/&gt;&lt;wsp:rsid wsp:val=&quot;006C2835&quot;/&gt;&lt;wsp:rsid wsp:val=&quot;006D045E&quot;/&gt;&lt;wsp:rsid wsp:val=&quot;006D04B4&quot;/&gt;&lt;wsp:rsid wsp:val=&quot;006D1BEB&quot;/&gt;&lt;wsp:rsid wsp:val=&quot;006D37BE&quot;/&gt;&lt;wsp:rsid wsp:val=&quot;006D6657&quot;/&gt;&lt;wsp:rsid wsp:val=&quot;006E04E8&quot;/&gt;&lt;wsp:rsid wsp:val=&quot;006E4A82&quot;/&gt;&lt;wsp:rsid wsp:val=&quot;006F1592&quot;/&gt;&lt;wsp:rsid wsp:val=&quot;006F3233&quot;/&gt;&lt;wsp:rsid wsp:val=&quot;006F4666&quot;/&gt;&lt;wsp:rsid wsp:val=&quot;006F49C4&quot;/&gt;&lt;wsp:rsid wsp:val=&quot;006F6F8D&quot;/&gt;&lt;wsp:rsid wsp:val=&quot;0070024C&quot;/&gt;&lt;wsp:rsid wsp:val=&quot;007003FC&quot;/&gt;&lt;wsp:rsid wsp:val=&quot;007019C4&quot;/&gt;&lt;wsp:rsid wsp:val=&quot;007040C1&quot;/&gt;&lt;wsp:rsid wsp:val=&quot;00704221&quot;/&gt;&lt;wsp:rsid wsp:val=&quot;00704D87&quot;/&gt;&lt;wsp:rsid wsp:val=&quot;00705161&quot;/&gt;&lt;wsp:rsid wsp:val=&quot;00706AC6&quot;/&gt;&lt;wsp:rsid wsp:val=&quot;0071197A&quot;/&gt;&lt;wsp:rsid wsp:val=&quot;007127F2&quot;/&gt;&lt;wsp:rsid wsp:val=&quot;00720496&quot;/&gt;&lt;wsp:rsid wsp:val=&quot;00726297&quot;/&gt;&lt;wsp:rsid wsp:val=&quot;00731BEA&quot;/&gt;&lt;wsp:rsid wsp:val=&quot;007333B3&quot;/&gt;&lt;wsp:rsid wsp:val=&quot;007349C5&quot;/&gt;&lt;wsp:rsid wsp:val=&quot;00735851&quot;/&gt;&lt;wsp:rsid wsp:val=&quot;00737671&quot;/&gt;&lt;wsp:rsid wsp:val=&quot;007410ED&quot;/&gt;&lt;wsp:rsid wsp:val=&quot;007428B3&quot;/&gt;&lt;wsp:rsid wsp:val=&quot;007436B8&quot;/&gt;&lt;wsp:rsid wsp:val=&quot;0074494A&quot;/&gt;&lt;wsp:rsid wsp:val=&quot;00747A19&quot;/&gt;&lt;wsp:rsid wsp:val=&quot;00747C89&quot;/&gt;&lt;wsp:rsid wsp:val=&quot;00747E57&quot;/&gt;&lt;wsp:rsid wsp:val=&quot;007549DE&quot;/&gt;&lt;wsp:rsid wsp:val=&quot;0075540E&quot;/&gt;&lt;wsp:rsid wsp:val=&quot;00756874&quot;/&gt;&lt;wsp:rsid wsp:val=&quot;00757025&quot;/&gt;&lt;wsp:rsid wsp:val=&quot;0075736E&quot;/&gt;&lt;wsp:rsid wsp:val=&quot;00757FA9&quot;/&gt;&lt;wsp:rsid wsp:val=&quot;00762E8C&quot;/&gt;&lt;wsp:rsid wsp:val=&quot;00763C91&quot;/&gt;&lt;wsp:rsid wsp:val=&quot;00763FD1&quot;/&gt;&lt;wsp:rsid wsp:val=&quot;00765E9A&quot;/&gt;&lt;wsp:rsid wsp:val=&quot;00771408&quot;/&gt;&lt;wsp:rsid wsp:val=&quot;007724E2&quot;/&gt;&lt;wsp:rsid wsp:val=&quot;00774E94&quot;/&gt;&lt;wsp:rsid wsp:val=&quot;00774F27&quot;/&gt;&lt;wsp:rsid wsp:val=&quot;0077536D&quot;/&gt;&lt;wsp:rsid wsp:val=&quot;007771B0&quot;/&gt;&lt;wsp:rsid wsp:val=&quot;00777298&quot;/&gt;&lt;wsp:rsid wsp:val=&quot;0078005E&quot;/&gt;&lt;wsp:rsid wsp:val=&quot;00781E49&quot;/&gt;&lt;wsp:rsid wsp:val=&quot;00781F67&quot;/&gt;&lt;wsp:rsid wsp:val=&quot;007831B0&quot;/&gt;&lt;wsp:rsid wsp:val=&quot;00783D97&quot;/&gt;&lt;wsp:rsid wsp:val=&quot;00784592&quot;/&gt;&lt;wsp:rsid wsp:val=&quot;00785878&quot;/&gt;&lt;wsp:rsid wsp:val=&quot;00785E7F&quot;/&gt;&lt;wsp:rsid wsp:val=&quot;007860DD&quot;/&gt;&lt;wsp:rsid wsp:val=&quot;007861D4&quot;/&gt;&lt;wsp:rsid wsp:val=&quot;007862A6&quot;/&gt;&lt;wsp:rsid wsp:val=&quot;007864FE&quot;/&gt;&lt;wsp:rsid wsp:val=&quot;00792320&quot;/&gt;&lt;wsp:rsid wsp:val=&quot;007971A6&quot;/&gt;&lt;wsp:rsid wsp:val=&quot;007A24A4&quot;/&gt;&lt;wsp:rsid wsp:val=&quot;007A6225&quot;/&gt;&lt;wsp:rsid wsp:val=&quot;007B25A3&quot;/&gt;&lt;wsp:rsid wsp:val=&quot;007B61D7&quot;/&gt;&lt;wsp:rsid wsp:val=&quot;007B76E3&quot;/&gt;&lt;wsp:rsid wsp:val=&quot;007B7F47&quot;/&gt;&lt;wsp:rsid wsp:val=&quot;007C3C20&quot;/&gt;&lt;wsp:rsid wsp:val=&quot;007C566B&quot;/&gt;&lt;wsp:rsid wsp:val=&quot;007D14C3&quot;/&gt;&lt;wsp:rsid wsp:val=&quot;007D54E0&quot;/&gt;&lt;wsp:rsid wsp:val=&quot;007D5F88&quot;/&gt;&lt;wsp:rsid wsp:val=&quot;007E07F5&quot;/&gt;&lt;wsp:rsid wsp:val=&quot;007E116C&quot;/&gt;&lt;wsp:rsid wsp:val=&quot;007E1D70&quot;/&gt;&lt;wsp:rsid wsp:val=&quot;007E1EB1&quot;/&gt;&lt;wsp:rsid wsp:val=&quot;007E35B5&quot;/&gt;&lt;wsp:rsid wsp:val=&quot;007E5092&quot;/&gt;&lt;wsp:rsid wsp:val=&quot;007E5906&quot;/&gt;&lt;wsp:rsid wsp:val=&quot;007F2445&quot;/&gt;&lt;wsp:rsid wsp:val=&quot;007F368B&quot;/&gt;&lt;wsp:rsid wsp:val=&quot;007F5957&quot;/&gt;&lt;wsp:rsid wsp:val=&quot;007F6E39&quot;/&gt;&lt;wsp:rsid wsp:val=&quot;007F7B8C&quot;/&gt;&lt;wsp:rsid wsp:val=&quot;008023AE&quot;/&gt;&lt;wsp:rsid wsp:val=&quot;00807555&quot;/&gt;&lt;wsp:rsid wsp:val=&quot;008120B3&quot;/&gt;&lt;wsp:rsid wsp:val=&quot;00812F67&quot;/&gt;&lt;wsp:rsid wsp:val=&quot;00813F2B&quot;/&gt;&lt;wsp:rsid wsp:val=&quot;00814BB1&quot;/&gt;&lt;wsp:rsid wsp:val=&quot;00815CD9&quot;/&gt;&lt;wsp:rsid wsp:val=&quot;008177B2&quot;/&gt;&lt;wsp:rsid wsp:val=&quot;00827074&quot;/&gt;&lt;wsp:rsid wsp:val=&quot;008271D2&quot;/&gt;&lt;wsp:rsid wsp:val=&quot;00830CB6&quot;/&gt;&lt;wsp:rsid wsp:val=&quot;00832EF8&quot;/&gt;&lt;wsp:rsid wsp:val=&quot;00841BA2&quot;/&gt;&lt;wsp:rsid wsp:val=&quot;00841C57&quot;/&gt;&lt;wsp:rsid wsp:val=&quot;00842028&quot;/&gt;&lt;wsp:rsid wsp:val=&quot;00842913&quot;/&gt;&lt;wsp:rsid wsp:val=&quot;00842958&quot;/&gt;&lt;wsp:rsid wsp:val=&quot;0084490E&quot;/&gt;&lt;wsp:rsid wsp:val=&quot;00845785&quot;/&gt;&lt;wsp:rsid wsp:val=&quot;008467C9&quot;/&gt;&lt;wsp:rsid wsp:val=&quot;00854556&quot;/&gt;&lt;wsp:rsid wsp:val=&quot;00860E7D&quot;/&gt;&lt;wsp:rsid wsp:val=&quot;00864E0E&quot;/&gt;&lt;wsp:rsid wsp:val=&quot;00866952&quot;/&gt;&lt;wsp:rsid wsp:val=&quot;008679A8&quot;/&gt;&lt;wsp:rsid wsp:val=&quot;00872180&quot;/&gt;&lt;wsp:rsid wsp:val=&quot;0087282C&quot;/&gt;&lt;wsp:rsid wsp:val=&quot;008737B5&quot;/&gt;&lt;wsp:rsid wsp:val=&quot;0088067A&quot;/&gt;&lt;wsp:rsid wsp:val=&quot;00881C3D&quot;/&gt;&lt;wsp:rsid wsp:val=&quot;008821C6&quot;/&gt;&lt;wsp:rsid wsp:val=&quot;00884ADD&quot;/&gt;&lt;wsp:rsid wsp:val=&quot;00885B20&quot;/&gt;&lt;wsp:rsid wsp:val=&quot;0088611D&quot;/&gt;&lt;wsp:rsid wsp:val=&quot;00896910&quot;/&gt;&lt;wsp:rsid wsp:val=&quot;008A1787&quot;/&gt;&lt;wsp:rsid wsp:val=&quot;008A31BA&quot;/&gt;&lt;wsp:rsid wsp:val=&quot;008A34F1&quot;/&gt;&lt;wsp:rsid wsp:val=&quot;008A4FFD&quot;/&gt;&lt;wsp:rsid wsp:val=&quot;008A5776&quot;/&gt;&lt;wsp:rsid wsp:val=&quot;008A5D04&quot;/&gt;&lt;wsp:rsid wsp:val=&quot;008B0F75&quot;/&gt;&lt;wsp:rsid wsp:val=&quot;008B3EEF&quot;/&gt;&lt;wsp:rsid wsp:val=&quot;008B4981&quot;/&gt;&lt;wsp:rsid wsp:val=&quot;008C07DF&quot;/&gt;&lt;wsp:rsid wsp:val=&quot;008C655F&quot;/&gt;&lt;wsp:rsid wsp:val=&quot;008C753E&quot;/&gt;&lt;wsp:rsid wsp:val=&quot;008D002D&quot;/&gt;&lt;wsp:rsid wsp:val=&quot;008D31DC&quot;/&gt;&lt;wsp:rsid wsp:val=&quot;008D32AD&quot;/&gt;&lt;wsp:rsid wsp:val=&quot;008D34CA&quot;/&gt;&lt;wsp:rsid wsp:val=&quot;008D6F79&quot;/&gt;&lt;wsp:rsid wsp:val=&quot;008D7005&quot;/&gt;&lt;wsp:rsid wsp:val=&quot;008D7C21&quot;/&gt;&lt;wsp:rsid wsp:val=&quot;008E2992&quot;/&gt;&lt;wsp:rsid wsp:val=&quot;008E3830&quot;/&gt;&lt;wsp:rsid wsp:val=&quot;008F04BE&quot;/&gt;&lt;wsp:rsid wsp:val=&quot;008F5A27&quot;/&gt;&lt;wsp:rsid wsp:val=&quot;008F621B&quot;/&gt;&lt;wsp:rsid wsp:val=&quot;008F7720&quot;/&gt;&lt;wsp:rsid wsp:val=&quot;008F7C25&quot;/&gt;&lt;wsp:rsid wsp:val=&quot;0090119C&quot;/&gt;&lt;wsp:rsid wsp:val=&quot;009014AC&quot;/&gt;&lt;wsp:rsid wsp:val=&quot;00903773&quot;/&gt;&lt;wsp:rsid wsp:val=&quot;009076A9&quot;/&gt;&lt;wsp:rsid wsp:val=&quot;00911168&quot;/&gt;&lt;wsp:rsid wsp:val=&quot;009117D5&quot;/&gt;&lt;wsp:rsid wsp:val=&quot;009121B0&quot;/&gt;&lt;wsp:rsid wsp:val=&quot;0091240F&quot;/&gt;&lt;wsp:rsid wsp:val=&quot;0091254E&quot;/&gt;&lt;wsp:rsid wsp:val=&quot;00915066&quot;/&gt;&lt;wsp:rsid wsp:val=&quot;009170A8&quot;/&gt;&lt;wsp:rsid wsp:val=&quot;00917390&quot;/&gt;&lt;wsp:rsid wsp:val=&quot;009219A7&quot;/&gt;&lt;wsp:rsid wsp:val=&quot;00921C42&quot;/&gt;&lt;wsp:rsid wsp:val=&quot;009241EA&quot;/&gt;&lt;wsp:rsid wsp:val=&quot;00924E2C&quot;/&gt;&lt;wsp:rsid wsp:val=&quot;009252D7&quot;/&gt;&lt;wsp:rsid wsp:val=&quot;00926846&quot;/&gt;&lt;wsp:rsid wsp:val=&quot;009270AE&quot;/&gt;&lt;wsp:rsid wsp:val=&quot;00930024&quot;/&gt;&lt;wsp:rsid wsp:val=&quot;00931623&quot;/&gt;&lt;wsp:rsid wsp:val=&quot;00931DD4&quot;/&gt;&lt;wsp:rsid wsp:val=&quot;00934358&quot;/&gt;&lt;wsp:rsid wsp:val=&quot;0093445B&quot;/&gt;&lt;wsp:rsid wsp:val=&quot;009347F2&quot;/&gt;&lt;wsp:rsid wsp:val=&quot;00935D66&quot;/&gt;&lt;wsp:rsid wsp:val=&quot;00937E91&quot;/&gt;&lt;wsp:rsid wsp:val=&quot;009401DF&quot;/&gt;&lt;wsp:rsid wsp:val=&quot;00943BDE&quot;/&gt;&lt;wsp:rsid wsp:val=&quot;00947247&quot;/&gt;&lt;wsp:rsid wsp:val=&quot;009478AF&quot;/&gt;&lt;wsp:rsid wsp:val=&quot;0095347D&quot;/&gt;&lt;wsp:rsid wsp:val=&quot;0095386F&quot;/&gt;&lt;wsp:rsid wsp:val=&quot;00953883&quot;/&gt;&lt;wsp:rsid wsp:val=&quot;0096265B&quot;/&gt;&lt;wsp:rsid wsp:val=&quot;00964EF6&quot;/&gt;&lt;wsp:rsid wsp:val=&quot;009657DE&quot;/&gt;&lt;wsp:rsid wsp:val=&quot;00973FA2&quot;/&gt;&lt;wsp:rsid wsp:val=&quot;00974FA5&quot;/&gt;&lt;wsp:rsid wsp:val=&quot;00975E6E&quot;/&gt;&lt;wsp:rsid wsp:val=&quot;009805A1&quot;/&gt;&lt;wsp:rsid wsp:val=&quot;00981D9F&quot;/&gt;&lt;wsp:rsid wsp:val=&quot;00983C1A&quot;/&gt;&lt;wsp:rsid wsp:val=&quot;00985935&quot;/&gt;&lt;wsp:rsid wsp:val=&quot;00986B2F&quot;/&gt;&lt;wsp:rsid wsp:val=&quot;0098791D&quot;/&gt;&lt;wsp:rsid wsp:val=&quot;0099131C&quot;/&gt;&lt;wsp:rsid wsp:val=&quot;00993D88&quot;/&gt;&lt;wsp:rsid wsp:val=&quot;009963D5&quot;/&gt;&lt;wsp:rsid wsp:val=&quot;009A02D8&quot;/&gt;&lt;wsp:rsid wsp:val=&quot;009A2DA1&quot;/&gt;&lt;wsp:rsid wsp:val=&quot;009A4F88&quot;/&gt;&lt;wsp:rsid wsp:val=&quot;009A5A09&quot;/&gt;&lt;wsp:rsid wsp:val=&quot;009A6F45&quot;/&gt;&lt;wsp:rsid wsp:val=&quot;009B1D77&quot;/&gt;&lt;wsp:rsid wsp:val=&quot;009B306A&quot;/&gt;&lt;wsp:rsid wsp:val=&quot;009B3214&quot;/&gt;&lt;wsp:rsid wsp:val=&quot;009B33BE&quot;/&gt;&lt;wsp:rsid wsp:val=&quot;009B64D0&quot;/&gt;&lt;wsp:rsid wsp:val=&quot;009C2CD7&quot;/&gt;&lt;wsp:rsid wsp:val=&quot;009C4786&quot;/&gt;&lt;wsp:rsid wsp:val=&quot;009D020B&quot;/&gt;&lt;wsp:rsid wsp:val=&quot;009D0A7F&quot;/&gt;&lt;wsp:rsid wsp:val=&quot;009D11EC&quot;/&gt;&lt;wsp:rsid wsp:val=&quot;009D25E3&quot;/&gt;&lt;wsp:rsid wsp:val=&quot;009D34E2&quot;/&gt;&lt;wsp:rsid wsp:val=&quot;009D6C24&quot;/&gt;&lt;wsp:rsid wsp:val=&quot;009E071D&quot;/&gt;&lt;wsp:rsid wsp:val=&quot;009E111F&quot;/&gt;&lt;wsp:rsid wsp:val=&quot;009E2F39&quot;/&gt;&lt;wsp:rsid wsp:val=&quot;009E4A2A&quot;/&gt;&lt;wsp:rsid wsp:val=&quot;009E4E29&quot;/&gt;&lt;wsp:rsid wsp:val=&quot;009E693E&quot;/&gt;&lt;wsp:rsid wsp:val=&quot;009F1E10&quot;/&gt;&lt;wsp:rsid wsp:val=&quot;009F603C&quot;/&gt;&lt;wsp:rsid wsp:val=&quot;009F69FB&quot;/&gt;&lt;wsp:rsid wsp:val=&quot;00A00C0F&quot;/&gt;&lt;wsp:rsid wsp:val=&quot;00A053FA&quot;/&gt;&lt;wsp:rsid wsp:val=&quot;00A06C8A&quot;/&gt;&lt;wsp:rsid wsp:val=&quot;00A1200A&quot;/&gt;&lt;wsp:rsid wsp:val=&quot;00A120D8&quot;/&gt;&lt;wsp:rsid wsp:val=&quot;00A1288C&quot;/&gt;&lt;wsp:rsid wsp:val=&quot;00A144EA&quot;/&gt;&lt;wsp:rsid wsp:val=&quot;00A16B00&quot;/&gt;&lt;wsp:rsid wsp:val=&quot;00A16B41&quot;/&gt;&lt;wsp:rsid wsp:val=&quot;00A21DA3&quot;/&gt;&lt;wsp:rsid wsp:val=&quot;00A255CA&quot;/&gt;&lt;wsp:rsid wsp:val=&quot;00A31351&quot;/&gt;&lt;wsp:rsid wsp:val=&quot;00A320EB&quot;/&gt;&lt;wsp:rsid wsp:val=&quot;00A3258C&quot;/&gt;&lt;wsp:rsid wsp:val=&quot;00A35767&quot;/&gt;&lt;wsp:rsid wsp:val=&quot;00A366E8&quot;/&gt;&lt;wsp:rsid wsp:val=&quot;00A372A6&quot;/&gt;&lt;wsp:rsid wsp:val=&quot;00A37306&quot;/&gt;&lt;wsp:rsid wsp:val=&quot;00A3759A&quot;/&gt;&lt;wsp:rsid wsp:val=&quot;00A43A40&quot;/&gt;&lt;wsp:rsid wsp:val=&quot;00A453E9&quot;/&gt;&lt;wsp:rsid wsp:val=&quot;00A54C47&quot;/&gt;&lt;wsp:rsid wsp:val=&quot;00A629C8&quot;/&gt;&lt;wsp:rsid wsp:val=&quot;00A63E63&quot;/&gt;&lt;wsp:rsid wsp:val=&quot;00A64300&quot;/&gt;&lt;wsp:rsid wsp:val=&quot;00A709E8&quot;/&gt;&lt;wsp:rsid wsp:val=&quot;00A71D04&quot;/&gt;&lt;wsp:rsid wsp:val=&quot;00A725A2&quot;/&gt;&lt;wsp:rsid wsp:val=&quot;00A750A4&quot;/&gt;&lt;wsp:rsid wsp:val=&quot;00A7702C&quot;/&gt;&lt;wsp:rsid wsp:val=&quot;00A779AE&quot;/&gt;&lt;wsp:rsid wsp:val=&quot;00A80D3B&quot;/&gt;&lt;wsp:rsid wsp:val=&quot;00A823C8&quot;/&gt;&lt;wsp:rsid wsp:val=&quot;00A82BC8&quot;/&gt;&lt;wsp:rsid wsp:val=&quot;00A8365E&quot;/&gt;&lt;wsp:rsid wsp:val=&quot;00A841D4&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26D&quot;/&gt;&lt;wsp:rsid wsp:val=&quot;00AB02B4&quot;/&gt;&lt;wsp:rsid wsp:val=&quot;00AB1B52&quot;/&gt;&lt;wsp:rsid wsp:val=&quot;00AB31FD&quot;/&gt;&lt;wsp:rsid wsp:val=&quot;00AB3E67&quot;/&gt;&lt;wsp:rsid wsp:val=&quot;00AB49D5&quot;/&gt;&lt;wsp:rsid wsp:val=&quot;00AB4D51&quot;/&gt;&lt;wsp:rsid wsp:val=&quot;00AB5C38&quot;/&gt;&lt;wsp:rsid wsp:val=&quot;00AB6527&quot;/&gt;&lt;wsp:rsid wsp:val=&quot;00AC04C0&quot;/&gt;&lt;wsp:rsid wsp:val=&quot;00AC278D&quot;/&gt;&lt;wsp:rsid wsp:val=&quot;00AD1C5F&quot;/&gt;&lt;wsp:rsid wsp:val=&quot;00AD2F16&quot;/&gt;&lt;wsp:rsid wsp:val=&quot;00AD7B8A&quot;/&gt;&lt;wsp:rsid wsp:val=&quot;00AD7C0A&quot;/&gt;&lt;wsp:rsid wsp:val=&quot;00AD7F2C&quot;/&gt;&lt;wsp:rsid wsp:val=&quot;00AE554F&quot;/&gt;&lt;wsp:rsid wsp:val=&quot;00AE5B57&quot;/&gt;&lt;wsp:rsid wsp:val=&quot;00AE7351&quot;/&gt;&lt;wsp:rsid wsp:val=&quot;00AF04E2&quot;/&gt;&lt;wsp:rsid wsp:val=&quot;00AF1339&quot;/&gt;&lt;wsp:rsid wsp:val=&quot;00AF19DC&quot;/&gt;&lt;wsp:rsid wsp:val=&quot;00AF4302&quot;/&gt;&lt;wsp:rsid wsp:val=&quot;00AF676F&quot;/&gt;&lt;wsp:rsid wsp:val=&quot;00AF6EBE&quot;/&gt;&lt;wsp:rsid wsp:val=&quot;00B004AE&quot;/&gt;&lt;wsp:rsid wsp:val=&quot;00B013F9&quot;/&gt;&lt;wsp:rsid wsp:val=&quot;00B057B7&quot;/&gt;&lt;wsp:rsid wsp:val=&quot;00B100FD&quot;/&gt;&lt;wsp:rsid wsp:val=&quot;00B112C6&quot;/&gt;&lt;wsp:rsid wsp:val=&quot;00B11EF0&quot;/&gt;&lt;wsp:rsid wsp:val=&quot;00B171D5&quot;/&gt;&lt;wsp:rsid wsp:val=&quot;00B20627&quot;/&gt;&lt;wsp:rsid wsp:val=&quot;00B23921&quot;/&gt;&lt;wsp:rsid wsp:val=&quot;00B24DF9&quot;/&gt;&lt;wsp:rsid wsp:val=&quot;00B26221&quot;/&gt;&lt;wsp:rsid wsp:val=&quot;00B273E4&quot;/&gt;&lt;wsp:rsid wsp:val=&quot;00B3185B&quot;/&gt;&lt;wsp:rsid wsp:val=&quot;00B32E7E&quot;/&gt;&lt;wsp:rsid wsp:val=&quot;00B33182&quot;/&gt;&lt;wsp:rsid wsp:val=&quot;00B34F32&quot;/&gt;&lt;wsp:rsid wsp:val=&quot;00B36279&quot;/&gt;&lt;wsp:rsid wsp:val=&quot;00B40D93&quot;/&gt;&lt;wsp:rsid wsp:val=&quot;00B4112C&quot;/&gt;&lt;wsp:rsid wsp:val=&quot;00B51372&quot;/&gt;&lt;wsp:rsid wsp:val=&quot;00B568F5&quot;/&gt;&lt;wsp:rsid wsp:val=&quot;00B601DC&quot;/&gt;&lt;wsp:rsid wsp:val=&quot;00B631FD&quot;/&gt;&lt;wsp:rsid wsp:val=&quot;00B639F2&quot;/&gt;&lt;wsp:rsid wsp:val=&quot;00B640E8&quot;/&gt;&lt;wsp:rsid wsp:val=&quot;00B6597A&quot;/&gt;&lt;wsp:rsid wsp:val=&quot;00B7475A&quot;/&gt;&lt;wsp:rsid wsp:val=&quot;00B75DE1&quot;/&gt;&lt;wsp:rsid wsp:val=&quot;00B777D2&quot;/&gt;&lt;wsp:rsid wsp:val=&quot;00B80F17&quot;/&gt;&lt;wsp:rsid wsp:val=&quot;00B8169D&quot;/&gt;&lt;wsp:rsid wsp:val=&quot;00B841E5&quot;/&gt;&lt;wsp:rsid wsp:val=&quot;00B86128&quot;/&gt;&lt;wsp:rsid wsp:val=&quot;00B866E9&quot;/&gt;&lt;wsp:rsid wsp:val=&quot;00B86786&quot;/&gt;&lt;wsp:rsid wsp:val=&quot;00B86936&quot;/&gt;&lt;wsp:rsid wsp:val=&quot;00B86D4D&quot;/&gt;&lt;wsp:rsid wsp:val=&quot;00B87A4D&quot;/&gt;&lt;wsp:rsid wsp:val=&quot;00B906C7&quot;/&gt;&lt;wsp:rsid wsp:val=&quot;00B90F97&quot;/&gt;&lt;wsp:rsid wsp:val=&quot;00B934D8&quot;/&gt;&lt;wsp:rsid wsp:val=&quot;00B9364E&quot;/&gt;&lt;wsp:rsid wsp:val=&quot;00B93DA4&quot;/&gt;&lt;wsp:rsid wsp:val=&quot;00B960D6&quot;/&gt;&lt;wsp:rsid wsp:val=&quot;00B97AAA&quot;/&gt;&lt;wsp:rsid wsp:val=&quot;00BA3DEF&quot;/&gt;&lt;wsp:rsid wsp:val=&quot;00BA6B1E&quot;/&gt;&lt;wsp:rsid wsp:val=&quot;00BA74B0&quot;/&gt;&lt;wsp:rsid wsp:val=&quot;00BC088B&quot;/&gt;&lt;wsp:rsid wsp:val=&quot;00BC0B79&quot;/&gt;&lt;wsp:rsid wsp:val=&quot;00BC0FD5&quot;/&gt;&lt;wsp:rsid wsp:val=&quot;00BC3D43&quot;/&gt;&lt;wsp:rsid wsp:val=&quot;00BC5D8B&quot;/&gt;&lt;wsp:rsid wsp:val=&quot;00BC75B5&quot;/&gt;&lt;wsp:rsid wsp:val=&quot;00BD15B5&quot;/&gt;&lt;wsp:rsid wsp:val=&quot;00BD4762&quot;/&gt;&lt;wsp:rsid wsp:val=&quot;00BD563B&quot;/&gt;&lt;wsp:rsid wsp:val=&quot;00BD5E6D&quot;/&gt;&lt;wsp:rsid wsp:val=&quot;00BD6F35&quot;/&gt;&lt;wsp:rsid wsp:val=&quot;00BD7FA0&quot;/&gt;&lt;wsp:rsid wsp:val=&quot;00BF1F78&quot;/&gt;&lt;wsp:rsid wsp:val=&quot;00BF568E&quot;/&gt;&lt;wsp:rsid wsp:val=&quot;00BF6CE0&quot;/&gt;&lt;wsp:rsid wsp:val=&quot;00C015D7&quot;/&gt;&lt;wsp:rsid wsp:val=&quot;00C024CF&quot;/&gt;&lt;wsp:rsid wsp:val=&quot;00C034B8&quot;/&gt;&lt;wsp:rsid wsp:val=&quot;00C04921&quot;/&gt;&lt;wsp:rsid wsp:val=&quot;00C05269&quot;/&gt;&lt;wsp:rsid wsp:val=&quot;00C07ABB&quot;/&gt;&lt;wsp:rsid wsp:val=&quot;00C16B72&quot;/&gt;&lt;wsp:rsid wsp:val=&quot;00C213F0&quot;/&gt;&lt;wsp:rsid wsp:val=&quot;00C251ED&quot;/&gt;&lt;wsp:rsid wsp:val=&quot;00C2565D&quot;/&gt;&lt;wsp:rsid wsp:val=&quot;00C25EF5&quot;/&gt;&lt;wsp:rsid wsp:val=&quot;00C264AD&quot;/&gt;&lt;wsp:rsid wsp:val=&quot;00C26E8E&quot;/&gt;&lt;wsp:rsid wsp:val=&quot;00C2739B&quot;/&gt;&lt;wsp:rsid wsp:val=&quot;00C313E3&quot;/&gt;&lt;wsp:rsid wsp:val=&quot;00C37194&quot;/&gt;&lt;wsp:rsid wsp:val=&quot;00C418B6&quot;/&gt;&lt;wsp:rsid wsp:val=&quot;00C43382&quot;/&gt;&lt;wsp:rsid wsp:val=&quot;00C4352D&quot;/&gt;&lt;wsp:rsid wsp:val=&quot;00C4374C&quot;/&gt;&lt;wsp:rsid wsp:val=&quot;00C447E1&quot;/&gt;&lt;wsp:rsid wsp:val=&quot;00C4769F&quot;/&gt;&lt;wsp:rsid wsp:val=&quot;00C51723&quot;/&gt;&lt;wsp:rsid wsp:val=&quot;00C5379F&quot;/&gt;&lt;wsp:rsid wsp:val=&quot;00C54454&quot;/&gt;&lt;wsp:rsid wsp:val=&quot;00C54F31&quot;/&gt;&lt;wsp:rsid wsp:val=&quot;00C569CC&quot;/&gt;&lt;wsp:rsid wsp:val=&quot;00C603D9&quot;/&gt;&lt;wsp:rsid wsp:val=&quot;00C61DD6&quot;/&gt;&lt;wsp:rsid wsp:val=&quot;00C62680&quot;/&gt;&lt;wsp:rsid wsp:val=&quot;00C6499C&quot;/&gt;&lt;wsp:rsid wsp:val=&quot;00C6529A&quot;/&gt;&lt;wsp:rsid wsp:val=&quot;00C66C69&quot;/&gt;&lt;wsp:rsid wsp:val=&quot;00C707D9&quot;/&gt;&lt;wsp:rsid wsp:val=&quot;00C72E52&quot;/&gt;&lt;wsp:rsid wsp:val=&quot;00C73A93&quot;/&gt;&lt;wsp:rsid wsp:val=&quot;00C758A0&quot;/&gt;&lt;wsp:rsid wsp:val=&quot;00C765A2&quot;/&gt;&lt;wsp:rsid wsp:val=&quot;00C77D84&quot;/&gt;&lt;wsp:rsid wsp:val=&quot;00C82732&quot;/&gt;&lt;wsp:rsid wsp:val=&quot;00C828F9&quot;/&gt;&lt;wsp:rsid wsp:val=&quot;00C83ACC&quot;/&gt;&lt;wsp:rsid wsp:val=&quot;00C86B16&quot;/&gt;&lt;wsp:rsid wsp:val=&quot;00C878E9&quot;/&gt;&lt;wsp:rsid wsp:val=&quot;00C92851&quot;/&gt;&lt;wsp:rsid wsp:val=&quot;00C92F51&quot;/&gt;&lt;wsp:rsid wsp:val=&quot;00C9432E&quot;/&gt;&lt;wsp:rsid wsp:val=&quot;00C9686F&quot;/&gt;&lt;wsp:rsid wsp:val=&quot;00C973E1&quot;/&gt;&lt;wsp:rsid wsp:val=&quot;00CA22B2&quot;/&gt;&lt;wsp:rsid wsp:val=&quot;00CA3C7D&quot;/&gt;&lt;wsp:rsid wsp:val=&quot;00CA3D59&quot;/&gt;&lt;wsp:rsid wsp:val=&quot;00CA4A7A&quot;/&gt;&lt;wsp:rsid wsp:val=&quot;00CA4EDE&quot;/&gt;&lt;wsp:rsid wsp:val=&quot;00CA5629&quot;/&gt;&lt;wsp:rsid wsp:val=&quot;00CA662E&quot;/&gt;&lt;wsp:rsid wsp:val=&quot;00CB0561&quot;/&gt;&lt;wsp:rsid wsp:val=&quot;00CB36DF&quot;/&gt;&lt;wsp:rsid wsp:val=&quot;00CB39D8&quot;/&gt;&lt;wsp:rsid wsp:val=&quot;00CB4300&quot;/&gt;&lt;wsp:rsid wsp:val=&quot;00CB73CD&quot;/&gt;&lt;wsp:rsid wsp:val=&quot;00CC4FB3&quot;/&gt;&lt;wsp:rsid wsp:val=&quot;00CC5365&quot;/&gt;&lt;wsp:rsid wsp:val=&quot;00CC58B9&quot;/&gt;&lt;wsp:rsid wsp:val=&quot;00CC77DE&quot;/&gt;&lt;wsp:rsid wsp:val=&quot;00CD1153&quot;/&gt;&lt;wsp:rsid wsp:val=&quot;00CD1D60&quot;/&gt;&lt;wsp:rsid wsp:val=&quot;00CD33DA&quot;/&gt;&lt;wsp:rsid wsp:val=&quot;00CD3F91&quot;/&gt;&lt;wsp:rsid wsp:val=&quot;00CD660F&quot;/&gt;&lt;wsp:rsid wsp:val=&quot;00CD6D58&quot;/&gt;&lt;wsp:rsid wsp:val=&quot;00CE253C&quot;/&gt;&lt;wsp:rsid wsp:val=&quot;00CE35EA&quot;/&gt;&lt;wsp:rsid wsp:val=&quot;00CE4A18&quot;/&gt;&lt;wsp:rsid wsp:val=&quot;00CF14BC&quot;/&gt;&lt;wsp:rsid wsp:val=&quot;00CF2307&quot;/&gt;&lt;wsp:rsid wsp:val=&quot;00CF3202&quot;/&gt;&lt;wsp:rsid wsp:val=&quot;00CF43FB&quot;/&gt;&lt;wsp:rsid wsp:val=&quot;00CF5E74&quot;/&gt;&lt;wsp:rsid wsp:val=&quot;00D0138D&quot;/&gt;&lt;wsp:rsid wsp:val=&quot;00D02D0D&quot;/&gt;&lt;wsp:rsid wsp:val=&quot;00D033F5&quot;/&gt;&lt;wsp:rsid wsp:val=&quot;00D03C22&quot;/&gt;&lt;wsp:rsid wsp:val=&quot;00D1164E&quot;/&gt;&lt;wsp:rsid wsp:val=&quot;00D1193D&quot;/&gt;&lt;wsp:rsid wsp:val=&quot;00D12666&quot;/&gt;&lt;wsp:rsid wsp:val=&quot;00D1420E&quot;/&gt;&lt;wsp:rsid wsp:val=&quot;00D15F49&quot;/&gt;&lt;wsp:rsid wsp:val=&quot;00D15FAF&quot;/&gt;&lt;wsp:rsid wsp:val=&quot;00D162CB&quot;/&gt;&lt;wsp:rsid wsp:val=&quot;00D21508&quot;/&gt;&lt;wsp:rsid wsp:val=&quot;00D23702&quot;/&gt;&lt;wsp:rsid wsp:val=&quot;00D24222&quot;/&gt;&lt;wsp:rsid wsp:val=&quot;00D266AC&quot;/&gt;&lt;wsp:rsid wsp:val=&quot;00D26D98&quot;/&gt;&lt;wsp:rsid wsp:val=&quot;00D327B2&quot;/&gt;&lt;wsp:rsid wsp:val=&quot;00D333EC&quot;/&gt;&lt;wsp:rsid wsp:val=&quot;00D344BC&quot;/&gt;&lt;wsp:rsid wsp:val=&quot;00D36B51&quot;/&gt;&lt;wsp:rsid wsp:val=&quot;00D40307&quot;/&gt;&lt;wsp:rsid wsp:val=&quot;00D43CBF&quot;/&gt;&lt;wsp:rsid wsp:val=&quot;00D5711F&quot;/&gt;&lt;wsp:rsid wsp:val=&quot;00D57B22&quot;/&gt;&lt;wsp:rsid wsp:val=&quot;00D60B06&quot;/&gt;&lt;wsp:rsid wsp:val=&quot;00D66373&quot;/&gt;&lt;wsp:rsid wsp:val=&quot;00D66E01&quot;/&gt;&lt;wsp:rsid wsp:val=&quot;00D6720E&quot;/&gt;&lt;wsp:rsid wsp:val=&quot;00D6781B&quot;/&gt;&lt;wsp:rsid wsp:val=&quot;00D81E6E&quot;/&gt;&lt;wsp:rsid wsp:val=&quot;00D82F8E&quot;/&gt;&lt;wsp:rsid wsp:val=&quot;00D835F6&quot;/&gt;&lt;wsp:rsid wsp:val=&quot;00D8382D&quot;/&gt;&lt;wsp:rsid wsp:val=&quot;00D84309&quot;/&gt;&lt;wsp:rsid wsp:val=&quot;00D84362&quot;/&gt;&lt;wsp:rsid wsp:val=&quot;00D90CF2&quot;/&gt;&lt;wsp:rsid wsp:val=&quot;00D92889&quot;/&gt;&lt;wsp:rsid wsp:val=&quot;00D92CDE&quot;/&gt;&lt;wsp:rsid wsp:val=&quot;00D93FFD&quot;/&gt;&lt;wsp:rsid wsp:val=&quot;00D978A0&quot;/&gt;&lt;wsp:rsid wsp:val=&quot;00D97D4D&quot;/&gt;&lt;wsp:rsid wsp:val=&quot;00DA0E6B&quot;/&gt;&lt;wsp:rsid wsp:val=&quot;00DA4A9C&quot;/&gt;&lt;wsp:rsid wsp:val=&quot;00DA4F39&quot;/&gt;&lt;wsp:rsid wsp:val=&quot;00DA639D&quot;/&gt;&lt;wsp:rsid wsp:val=&quot;00DB156D&quot;/&gt;&lt;wsp:rsid wsp:val=&quot;00DB5B7F&quot;/&gt;&lt;wsp:rsid wsp:val=&quot;00DB5C56&quot;/&gt;&lt;wsp:rsid wsp:val=&quot;00DB6BD3&quot;/&gt;&lt;wsp:rsid wsp:val=&quot;00DB7E00&quot;/&gt;&lt;wsp:rsid wsp:val=&quot;00DC34D0&quot;/&gt;&lt;wsp:rsid wsp:val=&quot;00DC4EF2&quot;/&gt;&lt;wsp:rsid wsp:val=&quot;00DC4FAB&quot;/&gt;&lt;wsp:rsid wsp:val=&quot;00DC7C0E&quot;/&gt;&lt;wsp:rsid wsp:val=&quot;00DD0951&quot;/&gt;&lt;wsp:rsid wsp:val=&quot;00DD1075&quot;/&gt;&lt;wsp:rsid wsp:val=&quot;00DD110B&quot;/&gt;&lt;wsp:rsid wsp:val=&quot;00DD31DD&quot;/&gt;&lt;wsp:rsid wsp:val=&quot;00DD5063&quot;/&gt;&lt;wsp:rsid wsp:val=&quot;00DD6A89&quot;/&gt;&lt;wsp:rsid wsp:val=&quot;00DD7B0B&quot;/&gt;&lt;wsp:rsid wsp:val=&quot;00DE0182&quot;/&gt;&lt;wsp:rsid wsp:val=&quot;00DE0B19&quot;/&gt;&lt;wsp:rsid wsp:val=&quot;00DE214A&quot;/&gt;&lt;wsp:rsid wsp:val=&quot;00DE2E52&quot;/&gt;&lt;wsp:rsid wsp:val=&quot;00DE3D4C&quot;/&gt;&lt;wsp:rsid wsp:val=&quot;00DE5DE1&quot;/&gt;&lt;wsp:rsid wsp:val=&quot;00DE7C02&quot;/&gt;&lt;wsp:rsid wsp:val=&quot;00DF0111&quot;/&gt;&lt;wsp:rsid wsp:val=&quot;00DF46B1&quot;/&gt;&lt;wsp:rsid wsp:val=&quot;00DF4980&quot;/&gt;&lt;wsp:rsid wsp:val=&quot;00DF5416&quot;/&gt;&lt;wsp:rsid wsp:val=&quot;00E010ED&quot;/&gt;&lt;wsp:rsid wsp:val=&quot;00E03022&quot;/&gt;&lt;wsp:rsid wsp:val=&quot;00E055D0&quot;/&gt;&lt;wsp:rsid wsp:val=&quot;00E119C7&quot;/&gt;&lt;wsp:rsid wsp:val=&quot;00E14041&quot;/&gt;&lt;wsp:rsid wsp:val=&quot;00E14362&quot;/&gt;&lt;wsp:rsid wsp:val=&quot;00E15326&quot;/&gt;&lt;wsp:rsid wsp:val=&quot;00E20892&quot;/&gt;&lt;wsp:rsid wsp:val=&quot;00E2627F&quot;/&gt;&lt;wsp:rsid wsp:val=&quot;00E32BEE&quot;/&gt;&lt;wsp:rsid wsp:val=&quot;00E3505B&quot;/&gt;&lt;wsp:rsid wsp:val=&quot;00E35DCE&quot;/&gt;&lt;wsp:rsid wsp:val=&quot;00E360BA&quot;/&gt;&lt;wsp:rsid wsp:val=&quot;00E406C6&quot;/&gt;&lt;wsp:rsid wsp:val=&quot;00E435D3&quot;/&gt;&lt;wsp:rsid wsp:val=&quot;00E46490&quot;/&gt;&lt;wsp:rsid wsp:val=&quot;00E46D85&quot;/&gt;&lt;wsp:rsid wsp:val=&quot;00E524D0&quot;/&gt;&lt;wsp:rsid wsp:val=&quot;00E60D5F&quot;/&gt;&lt;wsp:rsid wsp:val=&quot;00E61F00&quot;/&gt;&lt;wsp:rsid wsp:val=&quot;00E6219B&quot;/&gt;&lt;wsp:rsid wsp:val=&quot;00E64A49&quot;/&gt;&lt;wsp:rsid wsp:val=&quot;00E67062&quot;/&gt;&lt;wsp:rsid wsp:val=&quot;00E67DCE&quot;/&gt;&lt;wsp:rsid wsp:val=&quot;00E70311&quot;/&gt;&lt;wsp:rsid wsp:val=&quot;00E75E82&quot;/&gt;&lt;wsp:rsid wsp:val=&quot;00E7769E&quot;/&gt;&lt;wsp:rsid wsp:val=&quot;00E82038&quot;/&gt;&lt;wsp:rsid wsp:val=&quot;00E83CC5&quot;/&gt;&lt;wsp:rsid wsp:val=&quot;00E87B9F&quot;/&gt;&lt;wsp:rsid wsp:val=&quot;00E87D4D&quot;/&gt;&lt;wsp:rsid wsp:val=&quot;00E91FF8&quot;/&gt;&lt;wsp:rsid wsp:val=&quot;00E95AC8&quot;/&gt;&lt;wsp:rsid wsp:val=&quot;00E95F0A&quot;/&gt;&lt;wsp:rsid wsp:val=&quot;00EA235C&quot;/&gt;&lt;wsp:rsid wsp:val=&quot;00EA7990&quot;/&gt;&lt;wsp:rsid wsp:val=&quot;00EB14BE&quot;/&gt;&lt;wsp:rsid wsp:val=&quot;00EB2988&quot;/&gt;&lt;wsp:rsid wsp:val=&quot;00EB37A1&quot;/&gt;&lt;wsp:rsid wsp:val=&quot;00EB4922&quot;/&gt;&lt;wsp:rsid wsp:val=&quot;00EB53DA&quot;/&gt;&lt;wsp:rsid wsp:val=&quot;00EB7170&quot;/&gt;&lt;wsp:rsid wsp:val=&quot;00EB7494&quot;/&gt;&lt;wsp:rsid wsp:val=&quot;00EB7FDE&quot;/&gt;&lt;wsp:rsid wsp:val=&quot;00EC2EB2&quot;/&gt;&lt;wsp:rsid wsp:val=&quot;00EC7B40&quot;/&gt;&lt;wsp:rsid wsp:val=&quot;00ED034C&quot;/&gt;&lt;wsp:rsid wsp:val=&quot;00ED0645&quot;/&gt;&lt;wsp:rsid wsp:val=&quot;00ED0A61&quot;/&gt;&lt;wsp:rsid wsp:val=&quot;00ED1810&quot;/&gt;&lt;wsp:rsid wsp:val=&quot;00ED2DFB&quot;/&gt;&lt;wsp:rsid wsp:val=&quot;00ED2E01&quot;/&gt;&lt;wsp:rsid wsp:val=&quot;00ED309E&quot;/&gt;&lt;wsp:rsid wsp:val=&quot;00ED55AE&quot;/&gt;&lt;wsp:rsid wsp:val=&quot;00ED6056&quot;/&gt;&lt;wsp:rsid wsp:val=&quot;00ED6E4C&quot;/&gt;&lt;wsp:rsid wsp:val=&quot;00EE1DB6&quot;/&gt;&lt;wsp:rsid wsp:val=&quot;00EE1FAC&quot;/&gt;&lt;wsp:rsid wsp:val=&quot;00EE34FD&quot;/&gt;&lt;wsp:rsid wsp:val=&quot;00EE3E8A&quot;/&gt;&lt;wsp:rsid wsp:val=&quot;00EE5695&quot;/&gt;&lt;wsp:rsid wsp:val=&quot;00EF0B99&quot;/&gt;&lt;wsp:rsid wsp:val=&quot;00EF1AAC&quot;/&gt;&lt;wsp:rsid wsp:val=&quot;00EF3910&quot;/&gt;&lt;wsp:rsid wsp:val=&quot;00EF4F07&quot;/&gt;&lt;wsp:rsid wsp:val=&quot;00EF6036&quot;/&gt;&lt;wsp:rsid wsp:val=&quot;00F000D6&quot;/&gt;&lt;wsp:rsid wsp:val=&quot;00F0023E&quot;/&gt;&lt;wsp:rsid wsp:val=&quot;00F048D2&quot;/&gt;&lt;wsp:rsid wsp:val=&quot;00F04BCD&quot;/&gt;&lt;wsp:rsid wsp:val=&quot;00F05297&quot;/&gt;&lt;wsp:rsid wsp:val=&quot;00F063F8&quot;/&gt;&lt;wsp:rsid wsp:val=&quot;00F07B8D&quot;/&gt;&lt;wsp:rsid wsp:val=&quot;00F1304F&quot;/&gt;&lt;wsp:rsid wsp:val=&quot;00F171DA&quot;/&gt;&lt;wsp:rsid wsp:val=&quot;00F202E6&quot;/&gt;&lt;wsp:rsid wsp:val=&quot;00F230BA&quot;/&gt;&lt;wsp:rsid wsp:val=&quot;00F23620&quot;/&gt;&lt;wsp:rsid wsp:val=&quot;00F23A40&quot;/&gt;&lt;wsp:rsid wsp:val=&quot;00F24663&quot;/&gt;&lt;wsp:rsid wsp:val=&quot;00F24D21&quot;/&gt;&lt;wsp:rsid wsp:val=&quot;00F261B5&quot;/&gt;&lt;wsp:rsid wsp:val=&quot;00F26BD4&quot;/&gt;&lt;wsp:rsid wsp:val=&quot;00F27DE6&quot;/&gt;&lt;wsp:rsid wsp:val=&quot;00F27E3C&quot;/&gt;&lt;wsp:rsid wsp:val=&quot;00F30FD9&quot;/&gt;&lt;wsp:rsid wsp:val=&quot;00F3178C&quot;/&gt;&lt;wsp:rsid wsp:val=&quot;00F37A8E&quot;/&gt;&lt;wsp:rsid wsp:val=&quot;00F4032A&quot;/&gt;&lt;wsp:rsid wsp:val=&quot;00F44ADB&quot;/&gt;&lt;wsp:rsid wsp:val=&quot;00F4586C&quot;/&gt;&lt;wsp:rsid wsp:val=&quot;00F5028B&quot;/&gt;&lt;wsp:rsid wsp:val=&quot;00F51012&quot;/&gt;&lt;wsp:rsid wsp:val=&quot;00F52B54&quot;/&gt;&lt;wsp:rsid wsp:val=&quot;00F576A0&quot;/&gt;&lt;wsp:rsid wsp:val=&quot;00F57C47&quot;/&gt;&lt;wsp:rsid wsp:val=&quot;00F61405&quot;/&gt;&lt;wsp:rsid wsp:val=&quot;00F61573&quot;/&gt;&lt;wsp:rsid wsp:val=&quot;00F61AF3&quot;/&gt;&lt;wsp:rsid wsp:val=&quot;00F624EC&quot;/&gt;&lt;wsp:rsid wsp:val=&quot;00F62C0B&quot;/&gt;&lt;wsp:rsid wsp:val=&quot;00F66FE9&quot;/&gt;&lt;wsp:rsid wsp:val=&quot;00F67E59&quot;/&gt;&lt;wsp:rsid wsp:val=&quot;00F71576&quot;/&gt;&lt;wsp:rsid wsp:val=&quot;00F724AE&quot;/&gt;&lt;wsp:rsid wsp:val=&quot;00F72622&quot;/&gt;&lt;wsp:rsid wsp:val=&quot;00F73799&quot;/&gt;&lt;wsp:rsid wsp:val=&quot;00F73AF0&quot;/&gt;&lt;wsp:rsid wsp:val=&quot;00F75264&quot;/&gt;&lt;wsp:rsid wsp:val=&quot;00F756A4&quot;/&gt;&lt;wsp:rsid wsp:val=&quot;00F75B6C&quot;/&gt;&lt;wsp:rsid wsp:val=&quot;00F75CFD&quot;/&gt;&lt;wsp:rsid wsp:val=&quot;00F775DF&quot;/&gt;&lt;wsp:rsid wsp:val=&quot;00F82E18&quot;/&gt;&lt;wsp:rsid wsp:val=&quot;00F85221&quot;/&gt;&lt;wsp:rsid wsp:val=&quot;00F8638F&quot;/&gt;&lt;wsp:rsid wsp:val=&quot;00F91B6E&quot;/&gt;&lt;wsp:rsid wsp:val=&quot;00F9253D&quot;/&gt;&lt;wsp:rsid wsp:val=&quot;00F92A66&quot;/&gt;&lt;wsp:rsid wsp:val=&quot;00F93754&quot;/&gt;&lt;wsp:rsid wsp:val=&quot;00F93C47&quot;/&gt;&lt;wsp:rsid wsp:val=&quot;00F95794&quot;/&gt;&lt;wsp:rsid wsp:val=&quot;00F962C8&quot;/&gt;&lt;wsp:rsid wsp:val=&quot;00F9692E&quot;/&gt;&lt;wsp:rsid wsp:val=&quot;00FA5CCE&quot;/&gt;&lt;wsp:rsid wsp:val=&quot;00FB02B8&quot;/&gt;&lt;wsp:rsid wsp:val=&quot;00FB0600&quot;/&gt;&lt;wsp:rsid wsp:val=&quot;00FB0F0E&quot;/&gt;&lt;wsp:rsid wsp:val=&quot;00FB1020&quot;/&gt;&lt;wsp:rsid wsp:val=&quot;00FB112C&quot;/&gt;&lt;wsp:rsid wsp:val=&quot;00FB1ADB&quot;/&gt;&lt;wsp:rsid wsp:val=&quot;00FB3721&quot;/&gt;&lt;wsp:rsid wsp:val=&quot;00FC24B8&quot;/&gt;&lt;wsp:rsid wsp:val=&quot;00FC36F4&quot;/&gt;&lt;wsp:rsid wsp:val=&quot;00FC4D98&quot;/&gt;&lt;wsp:rsid wsp:val=&quot;00FC504A&quot;/&gt;&lt;wsp:rsid wsp:val=&quot;00FC5F97&quot;/&gt;&lt;wsp:rsid wsp:val=&quot;00FC6459&quot;/&gt;&lt;wsp:rsid wsp:val=&quot;00FD04CC&quot;/&gt;&lt;wsp:rsid wsp:val=&quot;00FD2A5F&quot;/&gt;&lt;wsp:rsid wsp:val=&quot;00FD3B74&quot;/&gt;&lt;wsp:rsid wsp:val=&quot;00FD4048&quot;/&gt;&lt;wsp:rsid wsp:val=&quot;00FD43E6&quot;/&gt;&lt;wsp:rsid wsp:val=&quot;00FE1FEE&quot;/&gt;&lt;wsp:rsid wsp:val=&quot;00FE5B09&quot;/&gt;&lt;wsp:rsid wsp:val=&quot;00FE6A52&quot;/&gt;&lt;wsp:rsid wsp:val=&quot;00FE7B3A&quot;/&gt;&lt;wsp:rsid wsp:val=&quot;00FE7E5A&quot;/&gt;&lt;wsp:rsid wsp:val=&quot;00FF2927&quot;/&gt;&lt;wsp:rsid wsp:val=&quot;00FF2EA9&quot;/&gt;&lt;wsp:rsid wsp:val=&quot;00FF45F8&quot;/&gt;&lt;/wsp:rsids&gt;&lt;/w:docPr&gt;&lt;w:body&gt;&lt;wx:sect&gt;&lt;w:p wsp:rsidR=&quot;00000000&quot; wsp:rsidRDefault=&quot;000C526F&quot; wsp:rsidP=&quot;000C526F&quot;&gt;&lt;m:oMathPara&gt;&lt;m:oMath&gt;&lt;m:sSub&gt;&lt;m:sSubPr&gt;&lt;m:ctrlPr&gt;&lt;w:rPr&gt;&lt;w:rFonts w:ascii=&quot;Cambria Math&quot; w:h-ansi=&quot;Cambria Math&quot;/&gt;&lt;wx:font wx:val=&quot;Cambria Math&quot;/&gt;&lt;w:sz w:val=&quot;18&quot;/&gt;&lt;/w:rPr&gt;&lt;/m:ctrlPr&gt;&lt;/m:sSubPr&gt;&lt;m:e&gt;&lt;m:r&gt;&lt;w:rPr&gt;&lt;w:rFonts w:ascii=&quot;Cambria Math&quot; w:h-ansi=&quot;Cambria Math&quot;/&gt;&lt;wx:font wx:val=&quot;Cambria Math&quot;/&gt;&lt;w:i/&gt;&lt;w:sz w:val=&quot;18&quot;/&gt;&lt;w:lang w:fareast=&quot;EN-GB&quot;/&gt;&lt;/w:rPr&gt;&lt;m:t&gt;h&lt;/m:t&gt;&lt;/m:r&gt;&lt;/m:e&gt;&lt;m:sub&gt;&lt;m:r&gt;&lt;w:rPr&gt;&lt;w:rFonts w:ascii=&quot;Cambria Math&quot; w:h-ansi=&quot;Cambria Math&quot;/&gt;&lt;wx:font wx:val=&quot;Cambria Math&quot;/&gt;&lt;w:i/&gt;&lt;w:sz w:val=&quot;18&quot;/&gt;&lt;w:lang w:fareast=&quot;EN-GB&quot;/&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295F09">
              <w:rPr>
                <w:rFonts w:ascii="Times New Roman" w:hAnsi="Times New Roman"/>
                <w:szCs w:val="20"/>
                <w:lang w:eastAsia="en-GB"/>
              </w:rPr>
              <w:fldChar w:fldCharType="end"/>
            </w:r>
            <w:r w:rsidRPr="00295F09">
              <w:rPr>
                <w:rFonts w:ascii="Times New Roman" w:hAnsi="Times New Roman"/>
                <w:szCs w:val="20"/>
                <w:lang w:eastAsia="en-GB"/>
              </w:rPr>
              <w:t xml:space="preserve"> is the channel for subcarrier n.</w:t>
            </w:r>
          </w:p>
          <w:p w:rsidR="008A18C8" w:rsidRPr="00295F09" w:rsidRDefault="008A18C8">
            <w:pPr>
              <w:pStyle w:val="ListParagraph"/>
              <w:numPr>
                <w:ilvl w:val="0"/>
                <w:numId w:val="13"/>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AltB (TD correlation profile) as described in R1-2210523</w:t>
            </w:r>
          </w:p>
          <w:p w:rsidR="008A18C8" w:rsidRPr="00295F09" w:rsidRDefault="008A18C8" w:rsidP="008A18C8">
            <w:pPr>
              <w:snapToGrid w:val="0"/>
              <w:rPr>
                <w:rFonts w:eastAsia="Malgun Gothic"/>
                <w:sz w:val="20"/>
                <w:szCs w:val="20"/>
              </w:rPr>
            </w:pPr>
            <w:r w:rsidRPr="00295F09">
              <w:rPr>
                <w:rFonts w:eastAsia="Malgun Gothic"/>
                <w:sz w:val="20"/>
                <w:szCs w:val="20"/>
              </w:rPr>
              <w:t>Down-selection is to done based on, at least, the (single-)user throughput (LLS) performance comparison among the alternatives assuming:</w:t>
            </w:r>
          </w:p>
          <w:p w:rsidR="008A18C8" w:rsidRPr="00295F09" w:rsidRDefault="008A18C8">
            <w:pPr>
              <w:pStyle w:val="ListParagraph"/>
              <w:numPr>
                <w:ilvl w:val="0"/>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Three special cases of an agreed use case (companies can select only one or more): aiding gNB to determine </w:t>
            </w:r>
            <w:r w:rsidRPr="00295F09">
              <w:rPr>
                <w:rFonts w:ascii="Times New Roman" w:eastAsia="Times New Roman" w:hAnsi="Times New Roman"/>
                <w:szCs w:val="20"/>
              </w:rPr>
              <w:t>switching between Type-I and Rel-16 eType-II codebooks, or to determine SRS periodicity in the UL-SRS reciprocity-based precoding scheme; or aiding the gNB implementation in CSI prediction for TDD</w:t>
            </w:r>
          </w:p>
          <w:p w:rsidR="008A18C8" w:rsidRPr="00295F09" w:rsidRDefault="008A18C8">
            <w:pPr>
              <w:pStyle w:val="ListParagraph"/>
              <w:numPr>
                <w:ilvl w:val="1"/>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 xml:space="preserve">In their simulations on </w:t>
            </w:r>
            <w:r w:rsidRPr="00295F09">
              <w:rPr>
                <w:rFonts w:ascii="Times New Roman" w:eastAsia="Times New Roman" w:hAnsi="Times New Roman"/>
                <w:szCs w:val="20"/>
              </w:rPr>
              <w:t xml:space="preserve">switching between Type-I and Rel-16 eType-II codebooks, companies should state how to </w:t>
            </w:r>
            <w:r w:rsidRPr="00295F09">
              <w:rPr>
                <w:rFonts w:ascii="Times New Roman" w:hAnsi="Times New Roman"/>
                <w:szCs w:val="20"/>
              </w:rPr>
              <w:t>calculate the metric for the determination and how to set the threshold, and what the UE reports.</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Malgun Gothic" w:hAnsi="Times New Roman"/>
                <w:szCs w:val="20"/>
              </w:rPr>
              <w:t xml:space="preserve">In their simulations on </w:t>
            </w:r>
            <w:r w:rsidRPr="00295F09">
              <w:rPr>
                <w:rFonts w:ascii="Times New Roman" w:eastAsia="Times New Roman" w:hAnsi="Times New Roman"/>
                <w:szCs w:val="20"/>
              </w:rPr>
              <w:t xml:space="preserve">UL-SRS reciprocity-based precoding scheme, companies should state how to set the SRS periodicity based on the reported metrics, </w:t>
            </w:r>
            <w:r w:rsidRPr="00295F09">
              <w:rPr>
                <w:rFonts w:ascii="Times New Roman" w:hAnsi="Times New Roman"/>
                <w:szCs w:val="20"/>
              </w:rPr>
              <w:t>and what the UE reports;</w:t>
            </w:r>
            <w:r w:rsidRPr="00295F09">
              <w:rPr>
                <w:rFonts w:ascii="Times New Roman" w:eastAsia="Times New Roman" w:hAnsi="Times New Roman"/>
                <w:szCs w:val="20"/>
              </w:rPr>
              <w:t xml:space="preserve"> and the results should be displayed in terms of user throughput vs SRS overhead</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Malgun Gothic" w:hAnsi="Times New Roman"/>
                <w:szCs w:val="20"/>
              </w:rPr>
              <w:t xml:space="preserve">In their simulations on CSI prediction for TDD, the results should be the correlation between real channel and predicted channel, </w:t>
            </w:r>
            <w:r w:rsidRPr="00295F09">
              <w:rPr>
                <w:rFonts w:ascii="Times New Roman" w:hAnsi="Times New Roman"/>
                <w:szCs w:val="20"/>
              </w:rPr>
              <w:t>and what the UE reports;</w:t>
            </w:r>
            <w:r w:rsidRPr="00295F09">
              <w:rPr>
                <w:rFonts w:ascii="Times New Roman" w:eastAsia="Malgun Gothic" w:hAnsi="Times New Roman"/>
                <w:szCs w:val="20"/>
              </w:rPr>
              <w:t xml:space="preserve"> aided by the reported metric.</w:t>
            </w:r>
          </w:p>
          <w:p w:rsidR="008A18C8" w:rsidRPr="00295F09" w:rsidRDefault="008A18C8">
            <w:pPr>
              <w:pStyle w:val="ListParagraph"/>
              <w:numPr>
                <w:ilvl w:val="1"/>
                <w:numId w:val="35"/>
              </w:numPr>
              <w:suppressAutoHyphens/>
              <w:snapToGrid w:val="0"/>
              <w:ind w:leftChars="0" w:left="1483"/>
              <w:rPr>
                <w:rFonts w:ascii="Times New Roman" w:eastAsia="Malgun Gothic" w:hAnsi="Times New Roman"/>
                <w:szCs w:val="20"/>
              </w:rPr>
            </w:pPr>
            <w:r w:rsidRPr="00295F09">
              <w:rPr>
                <w:rFonts w:ascii="Times New Roman" w:eastAsia="Times New Roman" w:hAnsi="Times New Roman"/>
                <w:szCs w:val="20"/>
              </w:rPr>
              <w:t xml:space="preserve">Other scenarios of the agreed use cases can optionally be simulated </w:t>
            </w:r>
          </w:p>
          <w:p w:rsidR="008A18C8" w:rsidRPr="00295F09" w:rsidRDefault="008A18C8">
            <w:pPr>
              <w:pStyle w:val="ListParagraph"/>
              <w:numPr>
                <w:ilvl w:val="0"/>
                <w:numId w:val="35"/>
              </w:numPr>
              <w:suppressAutoHyphens/>
              <w:snapToGrid w:val="0"/>
              <w:ind w:leftChars="0"/>
              <w:rPr>
                <w:rFonts w:ascii="Times New Roman" w:eastAsia="Malgun Gothic" w:hAnsi="Times New Roman"/>
                <w:szCs w:val="20"/>
              </w:rPr>
            </w:pPr>
            <w:r w:rsidRPr="00295F09">
              <w:rPr>
                <w:rFonts w:ascii="Times New Roman" w:eastAsia="Malgun Gothic" w:hAnsi="Times New Roman"/>
                <w:szCs w:val="20"/>
              </w:rPr>
              <w:t>Based on the agreed EVM for sTRP and mTRP</w:t>
            </w:r>
          </w:p>
          <w:p w:rsidR="008A18C8" w:rsidRPr="00295F09" w:rsidRDefault="008A18C8" w:rsidP="008A18C8">
            <w:pPr>
              <w:snapToGrid w:val="0"/>
              <w:rPr>
                <w:rFonts w:eastAsia="Malgun Gothic"/>
                <w:sz w:val="20"/>
                <w:szCs w:val="20"/>
              </w:rPr>
            </w:pPr>
            <w:r w:rsidRPr="00295F09">
              <w:rPr>
                <w:rFonts w:eastAsia="Malgun Gothic"/>
                <w:sz w:val="20"/>
                <w:szCs w:val="20"/>
              </w:rPr>
              <w:t>Note: Different alternatives may or may not apply to different use cases</w:t>
            </w:r>
            <w:r w:rsidRPr="00295F09">
              <w:rPr>
                <w:rFonts w:eastAsia="Malgun Gothic"/>
                <w:b/>
                <w:bCs/>
                <w:i/>
                <w:iCs/>
                <w:sz w:val="20"/>
                <w:szCs w:val="20"/>
              </w:rPr>
              <w:t xml:space="preserve">  </w:t>
            </w:r>
          </w:p>
          <w:p w:rsidR="008A18C8" w:rsidRPr="00295F09" w:rsidRDefault="008A18C8" w:rsidP="008A18C8">
            <w:pPr>
              <w:snapToGrid w:val="0"/>
              <w:jc w:val="both"/>
              <w:rPr>
                <w:rFonts w:eastAsia="Malgun Gothic"/>
                <w:sz w:val="20"/>
                <w:szCs w:val="20"/>
              </w:rPr>
            </w:pPr>
            <w:r w:rsidRPr="00295F09">
              <w:rPr>
                <w:rFonts w:eastAsia="Malgun Gothic"/>
                <w:sz w:val="20"/>
                <w:szCs w:val="20"/>
              </w:rPr>
              <w:t>FFS: The need for a measure of confidence level in the TDCP report, and/or UE behaviour when the quality of TDCP measurement is not sufficiently high</w:t>
            </w:r>
          </w:p>
          <w:p w:rsidR="008A18C8" w:rsidRPr="00295F09" w:rsidRDefault="008A18C8" w:rsidP="008A18C8">
            <w:pPr>
              <w:snapToGrid w:val="0"/>
              <w:jc w:val="both"/>
              <w:rPr>
                <w:rFonts w:eastAsia="Malgun Gothic"/>
                <w:sz w:val="20"/>
                <w:szCs w:val="20"/>
              </w:rPr>
            </w:pPr>
            <w:r w:rsidRPr="00295F09">
              <w:rPr>
                <w:rFonts w:eastAsia="Malgun Gothic"/>
                <w:sz w:val="20"/>
                <w:szCs w:val="20"/>
              </w:rPr>
              <w:t>FFS: TDCP parameter(s) signalled with respect to each alternative</w:t>
            </w:r>
          </w:p>
          <w:p w:rsidR="008A18C8" w:rsidRDefault="008A18C8" w:rsidP="008A18C8"/>
          <w:p w:rsidR="00557396" w:rsidRPr="008A18C8" w:rsidRDefault="00557396" w:rsidP="008A18C8">
            <w:pPr>
              <w:snapToGrid w:val="0"/>
              <w:rPr>
                <w:szCs w:val="20"/>
              </w:rPr>
            </w:pPr>
          </w:p>
        </w:tc>
      </w:tr>
    </w:tbl>
    <w:p w:rsidR="00557396" w:rsidRDefault="00557396" w:rsidP="00557396">
      <w:pPr>
        <w:pStyle w:val="0Maintext"/>
        <w:spacing w:after="120" w:afterAutospacing="0" w:line="240" w:lineRule="auto"/>
        <w:ind w:firstLine="0"/>
        <w:rPr>
          <w:lang w:val="en-US"/>
        </w:rPr>
      </w:pPr>
    </w:p>
    <w:p w:rsidR="00557396" w:rsidRPr="0005612B" w:rsidRDefault="00557396" w:rsidP="00557396">
      <w:pPr>
        <w:pStyle w:val="0Maintext"/>
        <w:spacing w:after="120" w:afterAutospacing="0" w:line="240" w:lineRule="auto"/>
        <w:ind w:firstLine="0"/>
        <w:rPr>
          <w:lang w:val="en-US"/>
        </w:rPr>
      </w:pPr>
      <w:r>
        <w:rPr>
          <w:lang w:val="en-US"/>
        </w:rPr>
        <w:t xml:space="preserve">In this contribution, we provide some discussion on </w:t>
      </w:r>
      <w:r w:rsidR="00C46EAA">
        <w:rPr>
          <w:lang w:val="en-US"/>
        </w:rPr>
        <w:t>CSI enhancement</w:t>
      </w:r>
      <w:r>
        <w:rPr>
          <w:lang w:val="en-US"/>
        </w:rPr>
        <w:t>.</w:t>
      </w:r>
    </w:p>
    <w:p w:rsidR="00557396" w:rsidRDefault="00C46EAA" w:rsidP="00557396">
      <w:pPr>
        <w:pStyle w:val="Heading1"/>
      </w:pPr>
      <w:r>
        <w:t>CSI for CJT</w:t>
      </w:r>
    </w:p>
    <w:p w:rsidR="007A63FA" w:rsidRDefault="00CB05AA" w:rsidP="007A63FA">
      <w:pPr>
        <w:pStyle w:val="Heading2"/>
      </w:pPr>
      <w:r>
        <w:t>CMR configuration</w:t>
      </w:r>
    </w:p>
    <w:p w:rsidR="00CB05AA" w:rsidRDefault="00CB05AA" w:rsidP="00557396">
      <w:pPr>
        <w:pStyle w:val="0Maintext"/>
        <w:spacing w:after="120" w:afterAutospacing="0" w:line="240" w:lineRule="auto"/>
        <w:ind w:firstLine="0"/>
        <w:rPr>
          <w:lang w:val="en-US" w:eastAsia="zh-CN"/>
        </w:rPr>
      </w:pPr>
      <w:r>
        <w:rPr>
          <w:lang w:val="en-US" w:eastAsia="zh-CN"/>
        </w:rPr>
        <w:t>In RAN1 #110, the following on CMR configuration was agreed, where the gNB can configure multiple CSI-RS resources as CMR and the CSI-RS resources should have the same number of CSI-RS ports.</w:t>
      </w:r>
    </w:p>
    <w:tbl>
      <w:tblPr>
        <w:tblStyle w:val="TableGrid"/>
        <w:tblW w:w="0" w:type="auto"/>
        <w:tblLook w:val="04A0" w:firstRow="1" w:lastRow="0" w:firstColumn="1" w:lastColumn="0" w:noHBand="0" w:noVBand="1"/>
      </w:tblPr>
      <w:tblGrid>
        <w:gridCol w:w="9010"/>
      </w:tblGrid>
      <w:tr w:rsidR="00CB05AA" w:rsidTr="00CB05AA">
        <w:tc>
          <w:tcPr>
            <w:tcW w:w="9010" w:type="dxa"/>
          </w:tcPr>
          <w:p w:rsidR="00CB05AA" w:rsidRPr="00CB05AA" w:rsidRDefault="00CB05AA" w:rsidP="00CB05AA">
            <w:pPr>
              <w:rPr>
                <w:b/>
                <w:bCs/>
                <w:iCs/>
                <w:sz w:val="20"/>
                <w:szCs w:val="20"/>
                <w:highlight w:val="green"/>
              </w:rPr>
            </w:pPr>
            <w:r w:rsidRPr="00CB05AA">
              <w:rPr>
                <w:b/>
                <w:bCs/>
                <w:iCs/>
                <w:sz w:val="20"/>
                <w:szCs w:val="20"/>
                <w:highlight w:val="green"/>
              </w:rPr>
              <w:t>Agreement</w:t>
            </w:r>
          </w:p>
          <w:p w:rsidR="00CB05AA" w:rsidRPr="00CB05AA" w:rsidRDefault="00CB05AA" w:rsidP="00CB05AA">
            <w:pPr>
              <w:snapToGrid w:val="0"/>
              <w:rPr>
                <w:sz w:val="20"/>
                <w:szCs w:val="20"/>
              </w:rPr>
            </w:pPr>
            <w:r w:rsidRPr="00CB05AA">
              <w:rPr>
                <w:sz w:val="20"/>
                <w:szCs w:val="20"/>
              </w:rPr>
              <w:t xml:space="preserve">For the Rel-18 Type-II codebook refinement for CJT mTRP with </w:t>
            </w:r>
            <w:r w:rsidRPr="00CB05AA">
              <w:rPr>
                <w:i/>
                <w:sz w:val="20"/>
                <w:szCs w:val="20"/>
              </w:rPr>
              <w:t>N</w:t>
            </w:r>
            <w:r w:rsidRPr="00CB05AA">
              <w:rPr>
                <w:i/>
                <w:sz w:val="20"/>
                <w:szCs w:val="20"/>
                <w:vertAlign w:val="subscript"/>
              </w:rPr>
              <w:t>TRP</w:t>
            </w:r>
            <w:r w:rsidRPr="00CB05AA">
              <w:rPr>
                <w:sz w:val="20"/>
                <w:szCs w:val="20"/>
              </w:rPr>
              <w:t>&gt;1 TRP/TRP-groups, the following is supported:</w:t>
            </w:r>
          </w:p>
          <w:p w:rsidR="00CB05AA" w:rsidRPr="00CB05AA" w:rsidRDefault="00CB05AA">
            <w:pPr>
              <w:pStyle w:val="ListParagraph"/>
              <w:numPr>
                <w:ilvl w:val="0"/>
                <w:numId w:val="6"/>
              </w:numPr>
              <w:snapToGrid w:val="0"/>
              <w:ind w:leftChars="0"/>
              <w:contextualSpacing/>
              <w:rPr>
                <w:rFonts w:ascii="Times New Roman" w:hAnsi="Times New Roman"/>
                <w:szCs w:val="20"/>
              </w:rPr>
            </w:pPr>
            <w:r w:rsidRPr="00CB05AA">
              <w:rPr>
                <w:rFonts w:ascii="Times New Roman" w:hAnsi="Times New Roman"/>
                <w:szCs w:val="20"/>
              </w:rPr>
              <w:t xml:space="preserve">The CMR comprises </w:t>
            </w:r>
            <w:r w:rsidRPr="00CB05AA">
              <w:rPr>
                <w:rFonts w:ascii="Times New Roman" w:hAnsi="Times New Roman"/>
                <w:i/>
                <w:szCs w:val="20"/>
              </w:rPr>
              <w:t>K</w:t>
            </w:r>
            <w:r w:rsidRPr="00CB05AA">
              <w:rPr>
                <w:rFonts w:ascii="Times New Roman" w:hAnsi="Times New Roman"/>
                <w:szCs w:val="20"/>
              </w:rPr>
              <w:t xml:space="preserve">&gt;1 NZP CSI-RS resources, where one resource corresponds to one TRP/TRP-group (i.e. </w:t>
            </w:r>
            <w:r w:rsidRPr="00CB05AA">
              <w:rPr>
                <w:rFonts w:ascii="Times New Roman" w:hAnsi="Times New Roman"/>
                <w:i/>
                <w:szCs w:val="20"/>
              </w:rPr>
              <w:t>K</w:t>
            </w:r>
            <w:r w:rsidRPr="00CB05AA">
              <w:rPr>
                <w:rFonts w:ascii="Times New Roman" w:hAnsi="Times New Roman"/>
                <w:szCs w:val="20"/>
              </w:rPr>
              <w:t>=</w:t>
            </w:r>
            <w:r w:rsidRPr="00CB05AA">
              <w:rPr>
                <w:rFonts w:ascii="Times New Roman" w:hAnsi="Times New Roman"/>
                <w:i/>
                <w:szCs w:val="20"/>
              </w:rPr>
              <w:t>N</w:t>
            </w:r>
            <w:r w:rsidRPr="00CB05AA">
              <w:rPr>
                <w:rFonts w:ascii="Times New Roman" w:hAnsi="Times New Roman"/>
                <w:i/>
                <w:szCs w:val="20"/>
                <w:vertAlign w:val="subscript"/>
              </w:rPr>
              <w:t>TRP</w:t>
            </w:r>
            <w:r w:rsidRPr="00CB05AA">
              <w:rPr>
                <w:rFonts w:ascii="Times New Roman" w:hAnsi="Times New Roman"/>
                <w:szCs w:val="20"/>
              </w:rPr>
              <w:t>)</w:t>
            </w:r>
          </w:p>
          <w:p w:rsidR="00CB05AA" w:rsidRPr="00CB05AA" w:rsidRDefault="00CB05AA">
            <w:pPr>
              <w:pStyle w:val="ListParagraph"/>
              <w:numPr>
                <w:ilvl w:val="1"/>
                <w:numId w:val="6"/>
              </w:numPr>
              <w:snapToGrid w:val="0"/>
              <w:ind w:leftChars="0"/>
              <w:contextualSpacing/>
              <w:rPr>
                <w:rFonts w:ascii="Times New Roman" w:hAnsi="Times New Roman"/>
                <w:szCs w:val="20"/>
              </w:rPr>
            </w:pPr>
            <w:r w:rsidRPr="00CB05AA">
              <w:rPr>
                <w:rFonts w:ascii="Times New Roman" w:hAnsi="Times New Roman"/>
                <w:szCs w:val="20"/>
              </w:rPr>
              <w:t>Each of the CSI-RS resources has a same number of CSI-RS ports</w:t>
            </w:r>
          </w:p>
          <w:p w:rsidR="00CB05AA" w:rsidRPr="00CB05AA" w:rsidRDefault="00CB05AA">
            <w:pPr>
              <w:pStyle w:val="ListParagraph"/>
              <w:numPr>
                <w:ilvl w:val="0"/>
                <w:numId w:val="6"/>
              </w:numPr>
              <w:suppressAutoHyphens/>
              <w:snapToGrid w:val="0"/>
              <w:ind w:leftChars="0"/>
              <w:jc w:val="both"/>
              <w:rPr>
                <w:rFonts w:ascii="Times New Roman" w:hAnsi="Times New Roman"/>
                <w:szCs w:val="20"/>
              </w:rPr>
            </w:pPr>
            <w:r w:rsidRPr="00CB05AA">
              <w:rPr>
                <w:rFonts w:ascii="Times New Roman" w:hAnsi="Times New Roman"/>
                <w:szCs w:val="20"/>
              </w:rPr>
              <w:t>Note: The terms TRP and TRP-group are used for discussion purposes only (no spec impact is implied).</w:t>
            </w:r>
          </w:p>
          <w:p w:rsidR="00CB05AA" w:rsidRDefault="00CB05AA" w:rsidP="00557396">
            <w:pPr>
              <w:pStyle w:val="0Maintext"/>
              <w:spacing w:after="120" w:afterAutospacing="0" w:line="240" w:lineRule="auto"/>
              <w:ind w:firstLine="0"/>
              <w:rPr>
                <w:lang w:val="en-US" w:eastAsia="zh-CN"/>
              </w:rPr>
            </w:pPr>
          </w:p>
        </w:tc>
      </w:tr>
    </w:tbl>
    <w:p w:rsidR="00CB05AA" w:rsidRDefault="00CB05AA" w:rsidP="00557396">
      <w:pPr>
        <w:pStyle w:val="0Maintext"/>
        <w:spacing w:after="120" w:afterAutospacing="0" w:line="240" w:lineRule="auto"/>
        <w:ind w:firstLine="0"/>
        <w:rPr>
          <w:lang w:val="en-US" w:eastAsia="zh-CN"/>
        </w:rPr>
      </w:pPr>
    </w:p>
    <w:p w:rsidR="000A1909" w:rsidRDefault="00CB05AA" w:rsidP="00CB05AA">
      <w:pPr>
        <w:pStyle w:val="0Maintext"/>
        <w:spacing w:after="120" w:afterAutospacing="0" w:line="240" w:lineRule="auto"/>
        <w:ind w:firstLine="0"/>
        <w:rPr>
          <w:lang w:val="en-US" w:eastAsia="zh-CN"/>
        </w:rPr>
      </w:pPr>
      <w:r>
        <w:rPr>
          <w:lang w:val="en-US" w:eastAsia="zh-CN"/>
        </w:rPr>
        <w:t xml:space="preserve">In addition, with regard to the CSI measurement, the allocated RBs for the CSI-RS resources should also be the same. Further, </w:t>
      </w:r>
      <w:r w:rsidR="000A1909">
        <w:rPr>
          <w:lang w:val="en-US" w:eastAsia="zh-CN"/>
        </w:rPr>
        <w:t xml:space="preserve">with regard to AGC factor impact, where UE may apply different AGC factors for different slots, </w:t>
      </w:r>
      <w:r>
        <w:rPr>
          <w:lang w:val="en-US" w:eastAsia="zh-CN"/>
        </w:rPr>
        <w:t>the CSI-RS resources</w:t>
      </w:r>
      <w:r w:rsidR="000A1909">
        <w:rPr>
          <w:lang w:val="en-US" w:eastAsia="zh-CN"/>
        </w:rPr>
        <w:t xml:space="preserve"> from different TRPs should be transmitted within a slot, so that a common AGC factor can be applied to these </w:t>
      </w:r>
      <w:r>
        <w:rPr>
          <w:lang w:val="en-US" w:eastAsia="zh-CN"/>
        </w:rPr>
        <w:t>CSI-RS resources</w:t>
      </w:r>
      <w:r w:rsidR="000A1909">
        <w:rPr>
          <w:lang w:val="en-US" w:eastAsia="zh-CN"/>
        </w:rPr>
        <w:t>.</w:t>
      </w:r>
    </w:p>
    <w:p w:rsidR="00B3722D" w:rsidRPr="00953F61" w:rsidRDefault="00B3722D" w:rsidP="00557396">
      <w:pPr>
        <w:pStyle w:val="0Maintext"/>
        <w:spacing w:after="120" w:afterAutospacing="0" w:line="240" w:lineRule="auto"/>
        <w:ind w:firstLine="0"/>
        <w:rPr>
          <w:b/>
          <w:i/>
          <w:lang w:val="en-US" w:eastAsia="zh-CN"/>
        </w:rPr>
      </w:pPr>
      <w:r w:rsidRPr="00953F61">
        <w:rPr>
          <w:b/>
          <w:i/>
          <w:lang w:val="en-US" w:eastAsia="zh-CN"/>
        </w:rPr>
        <w:t xml:space="preserve">Proposal 1: </w:t>
      </w:r>
      <w:r w:rsidR="00CB05AA">
        <w:rPr>
          <w:b/>
          <w:i/>
          <w:lang w:val="en-US" w:eastAsia="zh-CN"/>
        </w:rPr>
        <w:t>With regard to CSI measurement, the CSI-RS resources configured as CMR for CJT should be transmitted from the same RBs.</w:t>
      </w:r>
    </w:p>
    <w:p w:rsidR="00B3722D" w:rsidRDefault="00B3722D" w:rsidP="00557396">
      <w:pPr>
        <w:pStyle w:val="0Maintext"/>
        <w:spacing w:after="120" w:afterAutospacing="0" w:line="240" w:lineRule="auto"/>
        <w:ind w:firstLine="0"/>
        <w:rPr>
          <w:b/>
          <w:i/>
          <w:lang w:val="en-US" w:eastAsia="zh-CN"/>
        </w:rPr>
      </w:pPr>
      <w:r w:rsidRPr="00953F61">
        <w:rPr>
          <w:b/>
          <w:i/>
          <w:lang w:val="en-US" w:eastAsia="zh-CN"/>
        </w:rPr>
        <w:t>Pr</w:t>
      </w:r>
      <w:r w:rsidR="00953F61">
        <w:rPr>
          <w:b/>
          <w:i/>
          <w:lang w:val="en-US" w:eastAsia="zh-CN"/>
        </w:rPr>
        <w:t xml:space="preserve">oposal 2: </w:t>
      </w:r>
      <w:r w:rsidR="00CB05AA">
        <w:rPr>
          <w:b/>
          <w:i/>
          <w:lang w:val="en-US" w:eastAsia="zh-CN"/>
        </w:rPr>
        <w:t>With regard to AGC impact, the CSI-RS resources configured as CMR for CJT should be transmitted within a slot.</w:t>
      </w:r>
    </w:p>
    <w:p w:rsidR="00CB05AA" w:rsidRDefault="00CB05AA" w:rsidP="00CB05AA">
      <w:pPr>
        <w:pStyle w:val="Heading2"/>
      </w:pPr>
      <w:r>
        <w:lastRenderedPageBreak/>
        <w:t>IMR configuration</w:t>
      </w:r>
    </w:p>
    <w:p w:rsidR="00CB05AA" w:rsidRDefault="00CB05AA" w:rsidP="00557396">
      <w:pPr>
        <w:pStyle w:val="0Maintext"/>
        <w:spacing w:after="120" w:afterAutospacing="0" w:line="240" w:lineRule="auto"/>
        <w:ind w:firstLine="0"/>
        <w:rPr>
          <w:bCs/>
          <w:iCs/>
          <w:lang w:val="en-US" w:eastAsia="zh-CN"/>
        </w:rPr>
      </w:pPr>
      <w:r>
        <w:rPr>
          <w:bCs/>
          <w:iCs/>
          <w:lang w:val="en-US" w:eastAsia="zh-CN"/>
        </w:rPr>
        <w:t>In current CSI framework, the gNB can configure a CSI-IM and/or NZP-CSI-RS as IMR associated with a CMR. For CJT in FR1, one CSI-IM should be sufficient for the UE to measure the inter-cell interference. With regard to MU-MIMO, K NZP-CSI-RS resources as IMR can be considered. For CJT in FR2, the UE may apply different Rx beams to receive different CSI-RS resources configured as CMR. Then more than one CSI-IM and/or NZP-IMR should be configured, where the UE receives the CSI-IM/NZP-IMR and the associated CMR based on the same Rx beam.</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CB05AA" w:rsidRPr="00CB05AA" w:rsidRDefault="00CB05AA" w:rsidP="00557396">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CB05AA" w:rsidRPr="00CB05AA" w:rsidRDefault="00CB05AA">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CSI-IM with the same beam</w:t>
      </w:r>
    </w:p>
    <w:p w:rsidR="00CB05AA" w:rsidRPr="00CB05AA" w:rsidRDefault="00CB05AA" w:rsidP="00CB05AA">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CB05AA" w:rsidRPr="00CB05AA" w:rsidRDefault="00CB05AA">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NZP-IMR with the same beam</w:t>
      </w:r>
    </w:p>
    <w:p w:rsidR="00953F61" w:rsidRPr="00953F61" w:rsidRDefault="000A1909" w:rsidP="00953F61">
      <w:pPr>
        <w:pStyle w:val="Heading2"/>
      </w:pPr>
      <w:r>
        <w:t>C</w:t>
      </w:r>
      <w:r w:rsidR="007B39ED">
        <w:t>Q</w:t>
      </w:r>
      <w:r>
        <w:t xml:space="preserve">I measurement for </w:t>
      </w:r>
      <w:r w:rsidR="00953F61">
        <w:t>CJT</w:t>
      </w:r>
    </w:p>
    <w:p w:rsidR="000A1909" w:rsidRDefault="000A1909" w:rsidP="00557396">
      <w:pPr>
        <w:pStyle w:val="0Maintext"/>
        <w:spacing w:after="120" w:afterAutospacing="0" w:line="240" w:lineRule="auto"/>
        <w:ind w:firstLine="0"/>
        <w:rPr>
          <w:lang w:val="en-US" w:eastAsia="zh-CN"/>
        </w:rPr>
      </w:pPr>
      <w:r>
        <w:rPr>
          <w:lang w:val="en-US" w:eastAsia="zh-CN"/>
        </w:rPr>
        <w:t>For CQI measurement, the power offset between the CSI-RS and PDSCH should be clarified. In Rel-15, the EPRE ratio (Pc) between CSI-RS and PDSCH is configured by RRC signaling. But for CSI measurement</w:t>
      </w:r>
      <w:r w:rsidR="002D719B">
        <w:rPr>
          <w:lang w:val="en-US" w:eastAsia="zh-CN"/>
        </w:rPr>
        <w:t xml:space="preserve"> for CJT</w:t>
      </w:r>
      <w:r>
        <w:rPr>
          <w:lang w:val="en-US" w:eastAsia="zh-CN"/>
        </w:rPr>
        <w:t xml:space="preserve">, the </w:t>
      </w:r>
      <w:r w:rsidR="002D719B">
        <w:rPr>
          <w:lang w:val="en-US" w:eastAsia="zh-CN"/>
        </w:rPr>
        <w:t>PDSCH could be from multiple cells, and the EPRE ratio between a CSI-RS and the PDSCH can depend on the number of TRPs for the PDSCH transmission. Thus, the EPRE ratio should be defined as the EPRE ratio between CSI-RS and PDSCH from the same TRP.</w:t>
      </w:r>
    </w:p>
    <w:p w:rsidR="002D719B" w:rsidRPr="002D719B" w:rsidRDefault="002D719B" w:rsidP="00557396">
      <w:pPr>
        <w:pStyle w:val="0Maintext"/>
        <w:spacing w:after="120" w:afterAutospacing="0" w:line="240" w:lineRule="auto"/>
        <w:ind w:firstLine="0"/>
        <w:rPr>
          <w:b/>
          <w:i/>
          <w:lang w:val="en-US" w:eastAsia="zh-CN"/>
        </w:rPr>
      </w:pPr>
      <w:r w:rsidRPr="002D719B">
        <w:rPr>
          <w:b/>
          <w:i/>
          <w:lang w:val="en-US" w:eastAsia="zh-CN"/>
        </w:rPr>
        <w:t xml:space="preserve">Proposal </w:t>
      </w:r>
      <w:r w:rsidR="00503E15">
        <w:rPr>
          <w:b/>
          <w:i/>
          <w:lang w:val="en-US" w:eastAsia="zh-CN"/>
        </w:rPr>
        <w:t>6</w:t>
      </w:r>
      <w:r w:rsidRPr="002D719B">
        <w:rPr>
          <w:b/>
          <w:i/>
          <w:lang w:val="en-US" w:eastAsia="zh-CN"/>
        </w:rPr>
        <w:t>: For CQI measurement for CJT, the EPRE ratio (Pc) should be defined as the EPRE ratio between CSI-RS and PDSCH from the same TRP.</w:t>
      </w:r>
    </w:p>
    <w:p w:rsidR="002D719B" w:rsidRDefault="002D719B" w:rsidP="002D719B">
      <w:pPr>
        <w:pStyle w:val="Heading1"/>
      </w:pPr>
      <w:r>
        <w:t>CSI for high/medium UE velocities</w:t>
      </w:r>
    </w:p>
    <w:p w:rsidR="00922457" w:rsidRDefault="001D7163" w:rsidP="00922457">
      <w:pPr>
        <w:pStyle w:val="Heading2"/>
      </w:pPr>
      <w:r>
        <w:t>CSI-RS configuration</w:t>
      </w:r>
    </w:p>
    <w:p w:rsidR="00BE15BB" w:rsidRDefault="00503E15" w:rsidP="00557396">
      <w:pPr>
        <w:pStyle w:val="0Maintext"/>
        <w:spacing w:after="120" w:afterAutospacing="0" w:line="240" w:lineRule="auto"/>
        <w:ind w:firstLine="0"/>
        <w:rPr>
          <w:lang w:val="en-US" w:eastAsia="zh-CN"/>
        </w:rPr>
      </w:pPr>
      <w:r>
        <w:rPr>
          <w:lang w:val="en-US" w:eastAsia="zh-CN"/>
        </w:rPr>
        <w:t>In RAN1 #110b, the following agreement on burst-like aperiodic CSI-RS was achieved.</w:t>
      </w:r>
    </w:p>
    <w:tbl>
      <w:tblPr>
        <w:tblStyle w:val="TableGrid"/>
        <w:tblW w:w="0" w:type="auto"/>
        <w:tblLook w:val="04A0" w:firstRow="1" w:lastRow="0" w:firstColumn="1" w:lastColumn="0" w:noHBand="0" w:noVBand="1"/>
      </w:tblPr>
      <w:tblGrid>
        <w:gridCol w:w="9010"/>
      </w:tblGrid>
      <w:tr w:rsidR="00503E15" w:rsidTr="00503E15">
        <w:tc>
          <w:tcPr>
            <w:tcW w:w="9010" w:type="dxa"/>
          </w:tcPr>
          <w:p w:rsidR="00503E15" w:rsidRPr="00F41BA9" w:rsidRDefault="00503E15" w:rsidP="00503E15">
            <w:pPr>
              <w:jc w:val="both"/>
              <w:rPr>
                <w:rFonts w:eastAsia="Malgun Gothic"/>
                <w:sz w:val="20"/>
                <w:szCs w:val="20"/>
                <w:lang w:eastAsia="ko-KR"/>
              </w:rPr>
            </w:pPr>
            <w:r w:rsidRPr="00F41BA9">
              <w:rPr>
                <w:b/>
                <w:bCs/>
                <w:sz w:val="20"/>
                <w:szCs w:val="20"/>
                <w:highlight w:val="green"/>
              </w:rPr>
              <w:t>Agreement</w:t>
            </w:r>
          </w:p>
          <w:p w:rsidR="00503E15" w:rsidRPr="00F41BA9" w:rsidRDefault="00503E15" w:rsidP="00503E15">
            <w:pPr>
              <w:snapToGrid w:val="0"/>
              <w:jc w:val="both"/>
              <w:rPr>
                <w:color w:val="000000"/>
                <w:sz w:val="20"/>
                <w:szCs w:val="20"/>
              </w:rPr>
            </w:pPr>
            <w:r w:rsidRPr="00F41BA9">
              <w:rPr>
                <w:sz w:val="20"/>
                <w:szCs w:val="20"/>
              </w:rPr>
              <w:t xml:space="preserve">On the CSI reporting and measurement for the Rel-18 Type-II codebook refinement for high/medium velocities, support the following CSI-RS resource types/structures for CMR, support the </w:t>
            </w:r>
            <w:r w:rsidRPr="00F41BA9">
              <w:rPr>
                <w:color w:val="000000"/>
                <w:sz w:val="20"/>
                <w:szCs w:val="20"/>
              </w:rPr>
              <w:t xml:space="preserve">following: </w:t>
            </w:r>
          </w:p>
          <w:p w:rsidR="00503E15" w:rsidRPr="00503E15" w:rsidRDefault="00503E15">
            <w:pPr>
              <w:numPr>
                <w:ilvl w:val="0"/>
                <w:numId w:val="11"/>
              </w:numPr>
              <w:snapToGrid w:val="0"/>
              <w:jc w:val="both"/>
              <w:rPr>
                <w:color w:val="000000"/>
                <w:sz w:val="20"/>
                <w:szCs w:val="20"/>
              </w:rPr>
            </w:pPr>
            <w:r w:rsidRPr="00F41BA9">
              <w:rPr>
                <w:color w:val="000000"/>
                <w:sz w:val="20"/>
                <w:szCs w:val="20"/>
              </w:rPr>
              <w:t>(Alt1) Support K&gt;1 NZP CSI-RS resources, received via a single triggering instance, for aperiodic (AP) CSI-RS</w:t>
            </w:r>
            <w:r w:rsidRPr="00F41BA9">
              <w:rPr>
                <w:sz w:val="20"/>
                <w:szCs w:val="20"/>
              </w:rPr>
              <w:t>-based channel measurement in a same CSI-RS resource set where the separation between 2 consecutive AP-CSI-RS resources is m slot(s)</w:t>
            </w:r>
          </w:p>
        </w:tc>
      </w:tr>
    </w:tbl>
    <w:p w:rsidR="00503E15" w:rsidRDefault="00503E15" w:rsidP="00557396">
      <w:pPr>
        <w:pStyle w:val="0Maintext"/>
        <w:spacing w:after="120" w:afterAutospacing="0" w:line="240" w:lineRule="auto"/>
        <w:ind w:firstLine="0"/>
        <w:rPr>
          <w:lang w:val="en-US" w:eastAsia="zh-CN"/>
        </w:rPr>
      </w:pPr>
    </w:p>
    <w:p w:rsidR="006C266D" w:rsidRDefault="00503E15" w:rsidP="00557396">
      <w:pPr>
        <w:pStyle w:val="0Maintext"/>
        <w:spacing w:after="120" w:afterAutospacing="0" w:line="240" w:lineRule="auto"/>
        <w:ind w:firstLine="0"/>
        <w:rPr>
          <w:lang w:val="en-US" w:eastAsia="zh-CN"/>
        </w:rPr>
      </w:pPr>
      <w:r>
        <w:rPr>
          <w:lang w:val="en-US" w:eastAsia="zh-CN"/>
        </w:rPr>
        <w:t>More than 1 NZP CSI-RS resources can be triggered for channel measurement. To distinguish the CSI-RS resources in a resource set for Type2</w:t>
      </w:r>
      <w:r w:rsidR="006C266D">
        <w:rPr>
          <w:lang w:val="en-US" w:eastAsia="zh-CN"/>
        </w:rPr>
        <w:t xml:space="preserve"> codebook refinement for high/medium velocities and CSI-RS resources for other purposes, e.g., CSI-RS resources in a resource set configured with repetition, an RRC parameter should be introduced for the CSI-RS resource set to indicate the CSI-RS resources in the resource set are from the same antenna ports and are used for CSI measurement for high/medium velocities. </w:t>
      </w:r>
    </w:p>
    <w:p w:rsidR="008A6337" w:rsidRPr="003F7724" w:rsidRDefault="006C266D" w:rsidP="008A6337">
      <w:pPr>
        <w:pStyle w:val="0Maintext"/>
        <w:spacing w:after="120" w:afterAutospacing="0" w:line="240" w:lineRule="auto"/>
        <w:ind w:firstLine="0"/>
        <w:rPr>
          <w:b/>
          <w:bCs/>
          <w:i/>
          <w:iCs/>
          <w:lang w:val="en-US" w:eastAsia="zh-CN"/>
        </w:rPr>
      </w:pPr>
      <w:r w:rsidRPr="006C266D">
        <w:rPr>
          <w:b/>
          <w:bCs/>
          <w:i/>
          <w:iCs/>
          <w:lang w:val="en-US" w:eastAsia="zh-CN"/>
        </w:rPr>
        <w:t>Proposal 7: Support to introduce an RRC parameter in a CSI-RS resource set to indicate the CSI-RS resources in the CSI-RS resource set are used for CSI measurement for high/medium velocities, where the UE assumes that CSI-RS resources should be from the same antenna ports.</w:t>
      </w:r>
      <w:r w:rsidR="00503E15" w:rsidRPr="006C266D">
        <w:rPr>
          <w:b/>
          <w:bCs/>
          <w:i/>
          <w:iCs/>
          <w:lang w:val="en-US" w:eastAsia="zh-CN"/>
        </w:rPr>
        <w:t xml:space="preserve"> </w:t>
      </w:r>
    </w:p>
    <w:p w:rsidR="008A6337" w:rsidRDefault="00B93343" w:rsidP="00B93343">
      <w:pPr>
        <w:pStyle w:val="Heading2"/>
      </w:pPr>
      <w:r>
        <w:t>CQI/LI measurement</w:t>
      </w:r>
    </w:p>
    <w:p w:rsidR="006C266D" w:rsidRDefault="006C266D" w:rsidP="006C266D">
      <w:pPr>
        <w:pStyle w:val="0Maintext"/>
        <w:spacing w:after="120" w:afterAutospacing="0" w:line="240" w:lineRule="auto"/>
        <w:ind w:firstLine="0"/>
        <w:rPr>
          <w:lang w:val="en-US" w:eastAsia="zh-CN"/>
        </w:rPr>
      </w:pPr>
      <w:r>
        <w:rPr>
          <w:lang w:val="en-US" w:eastAsia="zh-CN"/>
        </w:rPr>
        <w:t>In RAN1 #11</w:t>
      </w:r>
      <w:r w:rsidR="00925C4F">
        <w:rPr>
          <w:lang w:val="en-US" w:eastAsia="zh-CN"/>
        </w:rPr>
        <w:t>1</w:t>
      </w:r>
      <w:r>
        <w:rPr>
          <w:lang w:val="en-US" w:eastAsia="zh-CN"/>
        </w:rPr>
        <w:t xml:space="preserve">, the following agreements on </w:t>
      </w:r>
      <w:r w:rsidR="00925C4F">
        <w:rPr>
          <w:lang w:val="en-US" w:eastAsia="zh-CN"/>
        </w:rPr>
        <w:t>CQI report</w:t>
      </w:r>
      <w:r>
        <w:rPr>
          <w:lang w:val="en-US" w:eastAsia="zh-CN"/>
        </w:rPr>
        <w:t xml:space="preserve"> for CSI for high/medium UE velocities were achieved.</w:t>
      </w:r>
    </w:p>
    <w:tbl>
      <w:tblPr>
        <w:tblStyle w:val="TableGrid"/>
        <w:tblW w:w="0" w:type="auto"/>
        <w:tblLook w:val="04A0" w:firstRow="1" w:lastRow="0" w:firstColumn="1" w:lastColumn="0" w:noHBand="0" w:noVBand="1"/>
      </w:tblPr>
      <w:tblGrid>
        <w:gridCol w:w="9010"/>
      </w:tblGrid>
      <w:tr w:rsidR="006C266D" w:rsidTr="00C82C2A">
        <w:tc>
          <w:tcPr>
            <w:tcW w:w="9010" w:type="dxa"/>
          </w:tcPr>
          <w:p w:rsidR="00925C4F" w:rsidRPr="00295F09" w:rsidRDefault="00925C4F" w:rsidP="00925C4F">
            <w:pPr>
              <w:snapToGrid w:val="0"/>
              <w:rPr>
                <w:sz w:val="20"/>
                <w:szCs w:val="20"/>
                <w:highlight w:val="green"/>
              </w:rPr>
            </w:pPr>
            <w:r w:rsidRPr="00295F09">
              <w:rPr>
                <w:b/>
                <w:sz w:val="20"/>
                <w:szCs w:val="20"/>
                <w:highlight w:val="green"/>
              </w:rPr>
              <w:t>Agreement</w:t>
            </w:r>
          </w:p>
          <w:p w:rsidR="00925C4F" w:rsidRPr="00295F09" w:rsidRDefault="00925C4F" w:rsidP="00925C4F">
            <w:pPr>
              <w:widowControl w:val="0"/>
              <w:snapToGrid w:val="0"/>
              <w:jc w:val="both"/>
              <w:rPr>
                <w:sz w:val="20"/>
                <w:szCs w:val="20"/>
              </w:rPr>
            </w:pPr>
            <w:r w:rsidRPr="00295F09">
              <w:rPr>
                <w:sz w:val="20"/>
                <w:szCs w:val="20"/>
              </w:rPr>
              <w:t xml:space="preserve">For the Rel-18 Type-II codebook refinement for high/medium velocities, regarding the time instance and/or PMI(s) in which a CQI is associated with, given the CSI reporting window </w:t>
            </w:r>
            <w:r w:rsidRPr="00295F09">
              <w:rPr>
                <w:i/>
                <w:sz w:val="20"/>
                <w:szCs w:val="20"/>
              </w:rPr>
              <w:t>W</w:t>
            </w:r>
            <w:r w:rsidRPr="00295F09">
              <w:rPr>
                <w:i/>
                <w:sz w:val="20"/>
                <w:szCs w:val="20"/>
                <w:vertAlign w:val="subscript"/>
              </w:rPr>
              <w:t>CSI</w:t>
            </w:r>
            <w:r w:rsidRPr="00295F09">
              <w:rPr>
                <w:sz w:val="20"/>
                <w:szCs w:val="20"/>
              </w:rPr>
              <w:t xml:space="preserve"> (in slots), assuming 1 CQI in </w:t>
            </w:r>
            <w:r w:rsidRPr="00295F09">
              <w:rPr>
                <w:sz w:val="20"/>
                <w:szCs w:val="20"/>
              </w:rPr>
              <w:lastRenderedPageBreak/>
              <w:t>one sub-band and one CSI reporting instance, down-select (by RAN1#112) one from the following alternatives:</w:t>
            </w:r>
          </w:p>
          <w:p w:rsidR="00925C4F" w:rsidRPr="00295F09" w:rsidRDefault="00925C4F">
            <w:pPr>
              <w:widowControl w:val="0"/>
              <w:numPr>
                <w:ilvl w:val="0"/>
                <w:numId w:val="29"/>
              </w:numPr>
              <w:snapToGrid w:val="0"/>
              <w:jc w:val="both"/>
              <w:rPr>
                <w:sz w:val="20"/>
                <w:szCs w:val="20"/>
              </w:rPr>
            </w:pPr>
            <w:r w:rsidRPr="00295F09">
              <w:rPr>
                <w:sz w:val="20"/>
                <w:szCs w:val="20"/>
              </w:rPr>
              <w:t xml:space="preserve">Alt1. The CQI is associated with the entire duration of the CSI reporting window and all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925C4F" w:rsidRPr="00295F09" w:rsidRDefault="00925C4F">
            <w:pPr>
              <w:widowControl w:val="0"/>
              <w:numPr>
                <w:ilvl w:val="0"/>
                <w:numId w:val="29"/>
              </w:numPr>
              <w:snapToGrid w:val="0"/>
              <w:jc w:val="both"/>
              <w:rPr>
                <w:sz w:val="20"/>
                <w:szCs w:val="20"/>
              </w:rPr>
            </w:pPr>
            <w:r w:rsidRPr="00295F09">
              <w:rPr>
                <w:sz w:val="20"/>
                <w:szCs w:val="20"/>
              </w:rPr>
              <w:t xml:space="preserve">Alt2A. The CQI is associated with the first/earliest slot of the CSI reporting window and the first/earliest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 </w:t>
            </w:r>
          </w:p>
          <w:p w:rsidR="00925C4F" w:rsidRPr="00295F09" w:rsidRDefault="00925C4F">
            <w:pPr>
              <w:widowControl w:val="0"/>
              <w:numPr>
                <w:ilvl w:val="0"/>
                <w:numId w:val="29"/>
              </w:numPr>
              <w:snapToGrid w:val="0"/>
              <w:jc w:val="both"/>
              <w:rPr>
                <w:sz w:val="20"/>
                <w:szCs w:val="20"/>
              </w:rPr>
            </w:pPr>
            <w:r w:rsidRPr="00295F09">
              <w:rPr>
                <w:sz w:val="20"/>
                <w:szCs w:val="20"/>
              </w:rPr>
              <w:t xml:space="preserve">Alt2B.  The CQI is associated with the first/earliest </w:t>
            </w:r>
            <w:r w:rsidRPr="00295F09">
              <w:rPr>
                <w:i/>
                <w:sz w:val="20"/>
                <w:szCs w:val="20"/>
              </w:rPr>
              <w:t>d</w:t>
            </w:r>
            <w:r w:rsidRPr="00295F09">
              <w:rPr>
                <w:sz w:val="20"/>
                <w:szCs w:val="20"/>
              </w:rPr>
              <w:t xml:space="preserve"> slots of the CSI reporting window and the first/earliest one of the </w:t>
            </w:r>
            <w:r w:rsidRPr="00295F09">
              <w:rPr>
                <w:i/>
                <w:sz w:val="20"/>
                <w:szCs w:val="20"/>
              </w:rPr>
              <w:t>N</w:t>
            </w:r>
            <w:r w:rsidRPr="00295F09">
              <w:rPr>
                <w:sz w:val="20"/>
                <w:szCs w:val="20"/>
                <w:vertAlign w:val="subscript"/>
              </w:rPr>
              <w:t>4</w:t>
            </w:r>
            <w:r w:rsidRPr="00295F09">
              <w:rPr>
                <w:sz w:val="20"/>
                <w:szCs w:val="20"/>
              </w:rPr>
              <w:t xml:space="preserve"> </w:t>
            </w:r>
            <w:r w:rsidRPr="00295F09">
              <w:rPr>
                <w:b/>
                <w:sz w:val="20"/>
                <w:szCs w:val="20"/>
              </w:rPr>
              <w:t>W</w:t>
            </w:r>
            <w:r w:rsidRPr="00295F09">
              <w:rPr>
                <w:sz w:val="20"/>
                <w:szCs w:val="20"/>
                <w:vertAlign w:val="subscript"/>
              </w:rPr>
              <w:t>2</w:t>
            </w:r>
            <w:r w:rsidRPr="00295F09">
              <w:rPr>
                <w:sz w:val="20"/>
                <w:szCs w:val="20"/>
              </w:rPr>
              <w:t xml:space="preserve"> matrices</w:t>
            </w:r>
          </w:p>
          <w:p w:rsidR="00925C4F" w:rsidRPr="00295F09" w:rsidRDefault="00925C4F" w:rsidP="00925C4F">
            <w:pPr>
              <w:widowControl w:val="0"/>
              <w:snapToGrid w:val="0"/>
              <w:jc w:val="both"/>
              <w:rPr>
                <w:sz w:val="20"/>
                <w:szCs w:val="20"/>
              </w:rPr>
            </w:pPr>
            <w:r w:rsidRPr="00295F09">
              <w:rPr>
                <w:sz w:val="20"/>
                <w:szCs w:val="20"/>
              </w:rPr>
              <w:t xml:space="preserve">Note: The </w:t>
            </w:r>
            <w:r w:rsidRPr="00295F09">
              <w:rPr>
                <w:i/>
                <w:sz w:val="20"/>
                <w:szCs w:val="20"/>
              </w:rPr>
              <w:t>N</w:t>
            </w:r>
            <w:r w:rsidRPr="00295F09">
              <w:rPr>
                <w:sz w:val="20"/>
                <w:szCs w:val="20"/>
                <w:vertAlign w:val="subscript"/>
              </w:rPr>
              <w:t>4</w:t>
            </w:r>
            <w:r w:rsidRPr="00295F09">
              <w:rPr>
                <w:b/>
                <w:sz w:val="20"/>
                <w:szCs w:val="20"/>
              </w:rPr>
              <w:t xml:space="preserve"> W</w:t>
            </w:r>
            <w:r w:rsidRPr="00295F09">
              <w:rPr>
                <w:sz w:val="20"/>
                <w:szCs w:val="20"/>
                <w:vertAlign w:val="subscript"/>
              </w:rPr>
              <w:t>2</w:t>
            </w:r>
            <w:r w:rsidRPr="00295F09">
              <w:rPr>
                <w:sz w:val="20"/>
                <w:szCs w:val="20"/>
              </w:rPr>
              <w:t xml:space="preserve"> matrices represent the combining coefficients before DD compression at the UE, or after DD de-compression at the gNB</w:t>
            </w:r>
          </w:p>
          <w:p w:rsidR="006C266D" w:rsidRPr="008A6337" w:rsidRDefault="006C266D" w:rsidP="00C82C2A">
            <w:pPr>
              <w:snapToGrid w:val="0"/>
              <w:rPr>
                <w:bCs/>
                <w:sz w:val="20"/>
                <w:szCs w:val="20"/>
              </w:rPr>
            </w:pPr>
          </w:p>
        </w:tc>
      </w:tr>
    </w:tbl>
    <w:p w:rsidR="006C266D" w:rsidRDefault="006C266D" w:rsidP="00557396">
      <w:pPr>
        <w:pStyle w:val="0Maintext"/>
        <w:spacing w:after="120" w:afterAutospacing="0" w:line="240" w:lineRule="auto"/>
        <w:ind w:firstLine="0"/>
        <w:rPr>
          <w:lang w:val="en-US" w:eastAsia="zh-CN"/>
        </w:rPr>
      </w:pPr>
    </w:p>
    <w:p w:rsidR="00B93343" w:rsidRDefault="00B93343" w:rsidP="00557396">
      <w:pPr>
        <w:pStyle w:val="0Maintext"/>
        <w:spacing w:after="120" w:afterAutospacing="0" w:line="240" w:lineRule="auto"/>
        <w:ind w:firstLine="0"/>
        <w:rPr>
          <w:lang w:val="en-US" w:eastAsia="zh-CN"/>
        </w:rPr>
      </w:pPr>
      <w:r>
        <w:rPr>
          <w:lang w:val="en-US" w:eastAsia="zh-CN"/>
        </w:rPr>
        <w:t xml:space="preserve">The channel energy for CSI measured from each CMR instances could be different. </w:t>
      </w:r>
      <w:r w:rsidR="00925C4F">
        <w:rPr>
          <w:lang w:val="en-US" w:eastAsia="zh-CN"/>
        </w:rPr>
        <w:t>Based on the reported CSI for the entire reporting window, the gNB is able to identify the channel for each slot</w:t>
      </w:r>
      <w:r w:rsidR="0023766E">
        <w:rPr>
          <w:lang w:val="en-US" w:eastAsia="zh-CN"/>
        </w:rPr>
        <w:t>. Then based on the CQI reported for 1 slot, the gNB is able to identify the CQI for other slots based on the reported CSIs. Thus, the reported CQI should be accurate enough to reduce the CQI compensation error in the gNB side. Then it is better that the CQI is associated with the first slot of the CSI reporting window, which should be with less channel prediction error.</w:t>
      </w:r>
    </w:p>
    <w:p w:rsidR="000E30ED" w:rsidRDefault="0015468B" w:rsidP="000E30ED">
      <w:pPr>
        <w:pStyle w:val="0Maintext"/>
        <w:spacing w:after="120" w:afterAutospacing="0" w:line="240" w:lineRule="auto"/>
        <w:ind w:firstLine="0"/>
        <w:rPr>
          <w:b/>
          <w:i/>
          <w:lang w:val="en-US" w:eastAsia="zh-CN"/>
        </w:rPr>
      </w:pPr>
      <w:r w:rsidRPr="0015468B">
        <w:rPr>
          <w:b/>
          <w:i/>
          <w:lang w:val="en-US" w:eastAsia="zh-CN"/>
        </w:rPr>
        <w:t xml:space="preserve">Proposal </w:t>
      </w:r>
      <w:r w:rsidR="003F7724">
        <w:rPr>
          <w:b/>
          <w:i/>
          <w:lang w:val="en-US" w:eastAsia="zh-CN"/>
        </w:rPr>
        <w:t>8</w:t>
      </w:r>
      <w:r w:rsidRPr="0015468B">
        <w:rPr>
          <w:b/>
          <w:i/>
          <w:lang w:val="en-US" w:eastAsia="zh-CN"/>
        </w:rPr>
        <w:t xml:space="preserve">: </w:t>
      </w:r>
      <w:r w:rsidR="0023766E">
        <w:rPr>
          <w:b/>
          <w:i/>
          <w:lang w:val="en-US" w:eastAsia="zh-CN"/>
        </w:rPr>
        <w:t>For CQI report for high/medium velocities, support Alt 2A that the CQI is associated with the first slot of the CSI reporting window.</w:t>
      </w:r>
    </w:p>
    <w:p w:rsidR="00784BA6" w:rsidRPr="0015468B" w:rsidRDefault="00784BA6" w:rsidP="000E30ED">
      <w:pPr>
        <w:pStyle w:val="0Maintext"/>
        <w:spacing w:after="120" w:afterAutospacing="0" w:line="240" w:lineRule="auto"/>
        <w:ind w:firstLine="0"/>
        <w:rPr>
          <w:b/>
          <w:i/>
          <w:lang w:val="en-US" w:eastAsia="zh-CN"/>
        </w:rPr>
      </w:pPr>
    </w:p>
    <w:p w:rsidR="0015468B" w:rsidRDefault="0015468B" w:rsidP="0015468B">
      <w:pPr>
        <w:pStyle w:val="Heading1"/>
      </w:pPr>
      <w:r>
        <w:t>TDCP report</w:t>
      </w:r>
    </w:p>
    <w:p w:rsidR="0015468B" w:rsidRDefault="0015468B" w:rsidP="0015468B">
      <w:pPr>
        <w:pStyle w:val="Heading2"/>
      </w:pPr>
      <w:r>
        <w:t>CMR for TDCP report</w:t>
      </w:r>
    </w:p>
    <w:p w:rsidR="00C75D1E" w:rsidRDefault="0015468B" w:rsidP="00431501">
      <w:pPr>
        <w:pStyle w:val="0Maintext"/>
        <w:spacing w:after="120" w:afterAutospacing="0" w:line="240" w:lineRule="auto"/>
        <w:ind w:firstLine="0"/>
        <w:rPr>
          <w:lang w:val="en-US" w:eastAsia="zh-CN"/>
        </w:rPr>
      </w:pPr>
      <w:r>
        <w:rPr>
          <w:lang w:val="en-US" w:eastAsia="zh-CN"/>
        </w:rPr>
        <w:t>In RAN1 #109, it was agreed that the TDCP should be measured based on TRS. It was also agreed that TDCP can be used to assist gNB to determine CSI reporting configuration and CSI prediction.</w:t>
      </w:r>
      <w:r w:rsidR="00431501">
        <w:rPr>
          <w:lang w:val="en-US" w:eastAsia="zh-CN"/>
        </w:rPr>
        <w:t xml:space="preserve"> </w:t>
      </w:r>
    </w:p>
    <w:tbl>
      <w:tblPr>
        <w:tblStyle w:val="TableGrid"/>
        <w:tblW w:w="0" w:type="auto"/>
        <w:tblLook w:val="04A0" w:firstRow="1" w:lastRow="0" w:firstColumn="1" w:lastColumn="0" w:noHBand="0" w:noVBand="1"/>
      </w:tblPr>
      <w:tblGrid>
        <w:gridCol w:w="9010"/>
      </w:tblGrid>
      <w:tr w:rsidR="00C75D1E" w:rsidTr="00C75D1E">
        <w:tc>
          <w:tcPr>
            <w:tcW w:w="9010" w:type="dxa"/>
          </w:tcPr>
          <w:p w:rsidR="00C75D1E" w:rsidRPr="00C46EAA" w:rsidRDefault="00C75D1E" w:rsidP="00C75D1E">
            <w:pPr>
              <w:snapToGrid w:val="0"/>
              <w:rPr>
                <w:rFonts w:eastAsia="Malgun Gothic"/>
                <w:sz w:val="20"/>
                <w:szCs w:val="20"/>
                <w:highlight w:val="green"/>
                <w:lang w:eastAsia="ko-KR"/>
              </w:rPr>
            </w:pPr>
            <w:r w:rsidRPr="00C46EAA">
              <w:rPr>
                <w:b/>
                <w:bCs/>
                <w:sz w:val="20"/>
                <w:szCs w:val="20"/>
                <w:highlight w:val="green"/>
              </w:rPr>
              <w:t>Agreement</w:t>
            </w:r>
          </w:p>
          <w:p w:rsidR="00C75D1E" w:rsidRPr="00C46EAA" w:rsidRDefault="00C75D1E" w:rsidP="00C75D1E">
            <w:pPr>
              <w:snapToGrid w:val="0"/>
              <w:rPr>
                <w:sz w:val="20"/>
                <w:szCs w:val="20"/>
              </w:rPr>
            </w:pPr>
            <w:r w:rsidRPr="00C46EAA">
              <w:rPr>
                <w:sz w:val="20"/>
                <w:szCs w:val="20"/>
              </w:rPr>
              <w:t>The work scope of TRS-based TDCP reporting focuses on the following use cases for evaluation purposes:</w:t>
            </w:r>
          </w:p>
          <w:p w:rsidR="00C75D1E" w:rsidRPr="00C46EAA" w:rsidRDefault="00C75D1E" w:rsidP="00C75D1E">
            <w:pPr>
              <w:numPr>
                <w:ilvl w:val="0"/>
                <w:numId w:val="3"/>
              </w:numPr>
              <w:snapToGrid w:val="0"/>
              <w:rPr>
                <w:sz w:val="20"/>
                <w:szCs w:val="20"/>
              </w:rPr>
            </w:pPr>
            <w:r w:rsidRPr="00C46EAA">
              <w:rPr>
                <w:sz w:val="20"/>
                <w:szCs w:val="20"/>
              </w:rPr>
              <w:t>Targeting medium and high UE speed, e.g. 10-120km/h as well as HST speed</w:t>
            </w:r>
          </w:p>
          <w:p w:rsidR="00C75D1E" w:rsidRPr="00C46EAA" w:rsidRDefault="00C75D1E" w:rsidP="00C75D1E">
            <w:pPr>
              <w:numPr>
                <w:ilvl w:val="0"/>
                <w:numId w:val="3"/>
              </w:numPr>
              <w:snapToGrid w:val="0"/>
              <w:rPr>
                <w:sz w:val="20"/>
                <w:szCs w:val="20"/>
              </w:rPr>
            </w:pPr>
            <w:r w:rsidRPr="00C46EAA">
              <w:rPr>
                <w:sz w:val="20"/>
                <w:szCs w:val="20"/>
              </w:rPr>
              <w:t xml:space="preserve">Aiding gNB to determine </w:t>
            </w:r>
          </w:p>
          <w:p w:rsidR="00C75D1E" w:rsidRPr="00C46EAA" w:rsidRDefault="00C75D1E" w:rsidP="00C75D1E">
            <w:pPr>
              <w:numPr>
                <w:ilvl w:val="1"/>
                <w:numId w:val="3"/>
              </w:numPr>
              <w:snapToGrid w:val="0"/>
              <w:rPr>
                <w:sz w:val="20"/>
                <w:szCs w:val="20"/>
              </w:rPr>
            </w:pPr>
            <w:r w:rsidRPr="00C46EAA">
              <w:rPr>
                <w:sz w:val="20"/>
                <w:szCs w:val="20"/>
              </w:rPr>
              <w:t xml:space="preserve">CSI reporting configuration and CSI-RS resource configuration parameters, </w:t>
            </w:r>
          </w:p>
          <w:p w:rsidR="00C75D1E" w:rsidRPr="00C46EAA" w:rsidRDefault="00C75D1E" w:rsidP="00C75D1E">
            <w:pPr>
              <w:numPr>
                <w:ilvl w:val="1"/>
                <w:numId w:val="3"/>
              </w:numPr>
              <w:snapToGrid w:val="0"/>
              <w:rPr>
                <w:sz w:val="20"/>
                <w:szCs w:val="20"/>
              </w:rPr>
            </w:pPr>
            <w:r w:rsidRPr="00C46EAA">
              <w:rPr>
                <w:sz w:val="20"/>
                <w:szCs w:val="20"/>
              </w:rPr>
              <w:t>Precoding scheme, using one of the CSI feedback based precoding schemes or an UL-SRS reciprocity based precoding scheme</w:t>
            </w:r>
          </w:p>
          <w:p w:rsidR="00C75D1E" w:rsidRPr="00C46EAA" w:rsidRDefault="00C75D1E" w:rsidP="00C75D1E">
            <w:pPr>
              <w:numPr>
                <w:ilvl w:val="0"/>
                <w:numId w:val="3"/>
              </w:numPr>
              <w:snapToGrid w:val="0"/>
              <w:rPr>
                <w:sz w:val="20"/>
                <w:szCs w:val="20"/>
              </w:rPr>
            </w:pPr>
            <w:r w:rsidRPr="00C46EAA">
              <w:rPr>
                <w:sz w:val="20"/>
                <w:szCs w:val="20"/>
              </w:rPr>
              <w:t>Aiding gNB-side CSI prediction</w:t>
            </w:r>
          </w:p>
          <w:p w:rsidR="00C75D1E" w:rsidRDefault="00C75D1E" w:rsidP="00431501">
            <w:pPr>
              <w:pStyle w:val="0Maintext"/>
              <w:spacing w:after="120" w:afterAutospacing="0" w:line="240" w:lineRule="auto"/>
              <w:ind w:firstLine="0"/>
              <w:rPr>
                <w:lang w:val="en-US" w:eastAsia="zh-CN"/>
              </w:rPr>
            </w:pPr>
          </w:p>
        </w:tc>
      </w:tr>
    </w:tbl>
    <w:p w:rsidR="00C75D1E" w:rsidRDefault="00C75D1E" w:rsidP="00431501">
      <w:pPr>
        <w:pStyle w:val="0Maintext"/>
        <w:spacing w:after="120" w:afterAutospacing="0" w:line="240" w:lineRule="auto"/>
        <w:ind w:firstLine="0"/>
        <w:rPr>
          <w:lang w:val="en-US" w:eastAsia="zh-CN"/>
        </w:rPr>
      </w:pPr>
    </w:p>
    <w:p w:rsidR="00C75D1E" w:rsidRPr="00C75D1E" w:rsidRDefault="00C75D1E" w:rsidP="00C75D1E">
      <w:pPr>
        <w:pStyle w:val="0Maintext"/>
        <w:spacing w:after="120" w:afterAutospacing="0" w:line="240" w:lineRule="auto"/>
        <w:ind w:firstLine="0"/>
        <w:rPr>
          <w:lang w:val="en-US" w:eastAsia="zh-CN"/>
        </w:rPr>
      </w:pPr>
      <w:r w:rsidRPr="00C75D1E">
        <w:rPr>
          <w:lang w:val="en-US" w:eastAsia="zh-CN"/>
        </w:rPr>
        <w:t>The phase shift for a channel path k as a result of Doppler shift can be calculated as follows:</w:t>
      </w:r>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γ</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exp</m:t>
          </m:r>
          <m:r>
            <m:rPr>
              <m:sty m:val="p"/>
            </m:rPr>
            <w:rPr>
              <w:rFonts w:ascii="Cambria Math" w:hAnsi="Cambria Math"/>
              <w:lang w:val="en-US" w:eastAsia="zh-CN"/>
            </w:rPr>
            <m:t>(</m:t>
          </m:r>
          <m:r>
            <w:rPr>
              <w:rFonts w:ascii="Cambria Math" w:hAnsi="Cambria Math"/>
              <w:lang w:val="en-US" w:eastAsia="zh-CN"/>
            </w:rPr>
            <m:t>j</m:t>
          </m:r>
          <m:r>
            <m:rPr>
              <m:sty m:val="p"/>
            </m:rPr>
            <w:rPr>
              <w:rFonts w:ascii="Cambria Math" w:hAnsi="Cambria Math"/>
              <w:lang w:val="en-US" w:eastAsia="zh-CN"/>
            </w:rPr>
            <m:t>2</m:t>
          </m:r>
          <m:r>
            <w:rPr>
              <w:rFonts w:ascii="Cambria Math" w:hAnsi="Cambria Math"/>
              <w:lang w:val="en-US" w:eastAsia="zh-CN"/>
            </w:rPr>
            <m:t>π</m:t>
          </m:r>
          <m:f>
            <m:fPr>
              <m:ctrlPr>
                <w:rPr>
                  <w:rFonts w:ascii="Cambria Math" w:hAnsi="Cambria Math"/>
                  <w:lang w:val="en-US" w:eastAsia="zh-CN"/>
                </w:rPr>
              </m:ctrlPr>
            </m:fPr>
            <m:num>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r>
                <w:rPr>
                  <w:rFonts w:ascii="Cambria Math" w:hAnsi="Cambria Math"/>
                  <w:lang w:val="en-US" w:eastAsia="zh-CN"/>
                </w:rPr>
                <m:t>v</m:t>
              </m:r>
            </m:num>
            <m:den>
              <m:r>
                <w:rPr>
                  <w:rFonts w:ascii="Cambria Math" w:hAnsi="Cambria Math"/>
                  <w:lang w:val="en-US" w:eastAsia="zh-CN"/>
                </w:rPr>
                <m:t>λ</m:t>
              </m:r>
            </m:den>
          </m:f>
          <m:r>
            <w:rPr>
              <w:rFonts w:ascii="Cambria Math" w:hAnsi="Cambria Math"/>
              <w:lang w:val="en-US" w:eastAsia="zh-CN"/>
            </w:rPr>
            <m:t>t</m:t>
          </m:r>
          <m:r>
            <m:rPr>
              <m:sty m:val="p"/>
            </m:rPr>
            <w:rPr>
              <w:rFonts w:ascii="Cambria Math" w:hAnsi="Cambria Math"/>
              <w:lang w:val="en-US" w:eastAsia="zh-CN"/>
            </w:rPr>
            <m:t>)</m:t>
          </m:r>
        </m:oMath>
      </m:oMathPara>
    </w:p>
    <w:p w:rsidR="00C75D1E" w:rsidRPr="00C75D1E" w:rsidRDefault="00000000" w:rsidP="00C75D1E">
      <w:pPr>
        <w:pStyle w:val="0Maintext"/>
        <w:spacing w:after="120" w:afterAutospacing="0" w:line="240" w:lineRule="auto"/>
        <w:ind w:firstLine="0"/>
        <w:rPr>
          <w:lang w:val="en-US" w:eastAsia="zh-CN"/>
        </w:rPr>
      </w:pPr>
      <m:oMathPara>
        <m:oMath>
          <m:sSub>
            <m:sSubPr>
              <m:ctrlPr>
                <w:rPr>
                  <w:rFonts w:ascii="Cambria Math" w:hAnsi="Cambria Math"/>
                  <w:lang w:val="en-US" w:eastAsia="zh-CN"/>
                </w:rPr>
              </m:ctrlPr>
            </m:sSubPr>
            <m:e>
              <m:r>
                <w:rPr>
                  <w:rFonts w:ascii="Cambria Math" w:hAnsi="Cambria Math"/>
                  <w:lang w:val="en-US" w:eastAsia="zh-CN"/>
                </w:rPr>
                <m:t>r</m:t>
              </m:r>
            </m:e>
            <m:sub>
              <m:r>
                <w:rPr>
                  <w:rFonts w:ascii="Cambria Math" w:hAnsi="Cambria Math"/>
                  <w:lang w:val="en-US" w:eastAsia="zh-CN"/>
                </w:rPr>
                <m:t>k</m:t>
              </m:r>
            </m:sub>
          </m:sSub>
          <m:r>
            <m:rPr>
              <m:sty m:val="p"/>
            </m:rPr>
            <w:rPr>
              <w:rFonts w:ascii="Cambria Math" w:hAnsi="Cambria Math"/>
              <w:lang w:val="en-US" w:eastAsia="zh-CN"/>
            </w:rPr>
            <m:t>=</m:t>
          </m:r>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e>
                </m:mr>
              </m:m>
            </m:e>
          </m:d>
        </m:oMath>
      </m:oMathPara>
    </w:p>
    <w:p w:rsidR="00C75D1E" w:rsidRPr="00C75D1E" w:rsidRDefault="00C75D1E" w:rsidP="00C75D1E">
      <w:pPr>
        <w:pStyle w:val="0Maintext"/>
        <w:spacing w:after="120" w:afterAutospacing="0" w:line="240" w:lineRule="auto"/>
        <w:ind w:firstLine="0"/>
        <w:rPr>
          <w:lang w:val="en-US" w:eastAsia="zh-CN"/>
        </w:rPr>
      </w:pPr>
      <m:oMathPara>
        <m:oMath>
          <m:r>
            <w:rPr>
              <w:rFonts w:ascii="Cambria Math" w:hAnsi="Cambria Math"/>
              <w:lang w:val="en-US" w:eastAsia="zh-CN"/>
            </w:rPr>
            <m:t>v</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sSup>
            <m:sSupPr>
              <m:ctrlPr>
                <w:rPr>
                  <w:rFonts w:ascii="Cambria Math" w:hAnsi="Cambria Math"/>
                  <w:lang w:val="en-US" w:eastAsia="zh-CN"/>
                </w:rPr>
              </m:ctrlPr>
            </m:sSupPr>
            <m:e>
              <m:d>
                <m:dPr>
                  <m:begChr m:val="["/>
                  <m:endChr m:val="]"/>
                  <m:ctrlPr>
                    <w:rPr>
                      <w:rFonts w:ascii="Cambria Math" w:hAnsi="Cambria Math"/>
                      <w:lang w:val="en-US" w:eastAsia="zh-CN"/>
                    </w:rPr>
                  </m:ctrlPr>
                </m:dPr>
                <m:e>
                  <m:m>
                    <m:mPr>
                      <m:mcs>
                        <m:mc>
                          <m:mcPr>
                            <m:count m:val="3"/>
                            <m:mcJc m:val="center"/>
                          </m:mcPr>
                        </m:mc>
                      </m:mcs>
                      <m:ctrlPr>
                        <w:rPr>
                          <w:rFonts w:ascii="Cambria Math" w:hAnsi="Cambria Math"/>
                          <w:lang w:val="en-US" w:eastAsia="zh-CN"/>
                        </w:rPr>
                      </m:ctrlPr>
                    </m:mPr>
                    <m:mr>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r>
                          <w:rPr>
                            <w:rFonts w:ascii="Cambria Math" w:hAnsi="Cambria Math"/>
                            <w:lang w:val="en-US" w:eastAsia="zh-CN"/>
                          </w:rPr>
                          <m:t>sin</m:t>
                        </m:r>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e>
                      <m:e>
                        <m:r>
                          <w:rPr>
                            <w:rFonts w:ascii="Cambria Math" w:hAnsi="Cambria Math"/>
                            <w:lang w:val="en-US" w:eastAsia="zh-CN"/>
                          </w:rPr>
                          <m:t>cos</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e>
                    </m:mr>
                  </m:m>
                </m:e>
              </m:d>
            </m:e>
            <m:sup>
              <m:r>
                <w:rPr>
                  <w:rFonts w:ascii="Cambria Math" w:hAnsi="Cambria Math"/>
                  <w:lang w:val="en-US" w:eastAsia="zh-CN"/>
                </w:rPr>
                <m:t>T</m:t>
              </m:r>
            </m:sup>
          </m:sSup>
        </m:oMath>
      </m:oMathPara>
    </w:p>
    <w:p w:rsidR="00C75D1E" w:rsidRPr="00C75D1E" w:rsidRDefault="00C75D1E" w:rsidP="00431501">
      <w:pPr>
        <w:pStyle w:val="0Maintext"/>
        <w:spacing w:after="120" w:afterAutospacing="0" w:line="240" w:lineRule="auto"/>
        <w:ind w:firstLine="0"/>
        <w:rPr>
          <w:lang w:val="en-US" w:eastAsia="zh-CN"/>
        </w:rPr>
      </w:pPr>
      <w:r w:rsidRPr="00C75D1E">
        <w:rPr>
          <w:lang w:val="en-US" w:eastAsia="zh-CN"/>
        </w:rPr>
        <w:t xml:space="preserve">where </w:t>
      </w:r>
      <m:oMath>
        <m:r>
          <w:rPr>
            <w:rFonts w:ascii="Cambria Math" w:hAnsi="Cambria Math"/>
            <w:lang w:val="en-US" w:eastAsia="zh-CN"/>
          </w:rPr>
          <m:t>λ</m:t>
        </m:r>
      </m:oMath>
      <w:r w:rsidRPr="00C75D1E">
        <w:rPr>
          <w:lang w:val="en-US" w:eastAsia="zh-CN"/>
        </w:rPr>
        <w:t xml:space="preserve"> indicates the waveform length, which is determined by the carrier frequency; </w:t>
      </w:r>
      <m:oMath>
        <m:r>
          <w:rPr>
            <w:rFonts w:ascii="Cambria Math" w:hAnsi="Cambria Math"/>
            <w:lang w:val="en-US" w:eastAsia="zh-CN"/>
          </w:rPr>
          <m:t>t</m:t>
        </m:r>
      </m:oMath>
      <w:r w:rsidRPr="00C75D1E">
        <w:rPr>
          <w:lang w:val="en-US" w:eastAsia="zh-CN"/>
        </w:rPr>
        <w:t xml:space="preserve"> denotes the time;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k</m:t>
            </m:r>
          </m:sub>
        </m:sSub>
      </m:oMath>
      <w:r w:rsidRPr="00C75D1E">
        <w:rPr>
          <w:lang w:val="en-US" w:eastAsia="zh-CN"/>
        </w:rPr>
        <w:t xml:space="preserve"> is the </w:t>
      </w:r>
      <w:r>
        <w:rPr>
          <w:lang w:val="en-US" w:eastAsia="zh-CN"/>
        </w:rPr>
        <w:t>ZoA</w:t>
      </w:r>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k</m:t>
            </m:r>
          </m:sub>
        </m:sSub>
      </m:oMath>
      <w:r w:rsidRPr="00C75D1E">
        <w:rPr>
          <w:lang w:val="en-US" w:eastAsia="zh-CN"/>
        </w:rPr>
        <w:t xml:space="preserve"> is the </w:t>
      </w:r>
      <w:r>
        <w:rPr>
          <w:lang w:val="en-US" w:eastAsia="zh-CN"/>
        </w:rPr>
        <w:t>AoA</w:t>
      </w:r>
      <w:r w:rsidRPr="00C75D1E">
        <w:rPr>
          <w:lang w:val="en-US" w:eastAsia="zh-CN"/>
        </w:rPr>
        <w:t xml:space="preserve"> for channel path k; </w:t>
      </w:r>
      <m:oMath>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0</m:t>
            </m:r>
          </m:sub>
        </m:sSub>
      </m:oMath>
      <w:r w:rsidRPr="00C75D1E">
        <w:rPr>
          <w:lang w:val="en-US" w:eastAsia="zh-CN"/>
        </w:rPr>
        <w:t xml:space="preserve"> indicates the UE’s moving speed; </w:t>
      </w:r>
      <m:oMath>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v</m:t>
            </m:r>
          </m:sub>
        </m:sSub>
      </m:oMath>
      <w:r w:rsidRPr="00C75D1E">
        <w:rPr>
          <w:lang w:val="en-US" w:eastAsia="zh-CN"/>
        </w:rPr>
        <w:t xml:space="preserve"> is the moving direction in vertical; </w:t>
      </w:r>
      <m:oMath>
        <m:sSub>
          <m:sSubPr>
            <m:ctrlPr>
              <w:rPr>
                <w:rFonts w:ascii="Cambria Math" w:hAnsi="Cambria Math"/>
                <w:lang w:val="en-US" w:eastAsia="zh-CN"/>
              </w:rPr>
            </m:ctrlPr>
          </m:sSubPr>
          <m:e>
            <m:r>
              <w:rPr>
                <w:rFonts w:ascii="Cambria Math" w:hAnsi="Cambria Math"/>
                <w:lang w:val="en-US" w:eastAsia="zh-CN"/>
              </w:rPr>
              <m:t>φ</m:t>
            </m:r>
          </m:e>
          <m:sub>
            <m:r>
              <w:rPr>
                <w:rFonts w:ascii="Cambria Math" w:hAnsi="Cambria Math"/>
                <w:lang w:val="en-US" w:eastAsia="zh-CN"/>
              </w:rPr>
              <m:t>v</m:t>
            </m:r>
          </m:sub>
        </m:sSub>
      </m:oMath>
      <w:r w:rsidRPr="00C75D1E">
        <w:rPr>
          <w:lang w:val="en-US" w:eastAsia="zh-CN"/>
        </w:rPr>
        <w:t xml:space="preserve"> is the moving direction in horizontal.</w:t>
      </w:r>
    </w:p>
    <w:p w:rsidR="00C75D1E" w:rsidRDefault="00C75D1E" w:rsidP="00431501">
      <w:pPr>
        <w:pStyle w:val="0Maintext"/>
        <w:spacing w:after="120" w:afterAutospacing="0" w:line="240" w:lineRule="auto"/>
        <w:ind w:firstLine="0"/>
        <w:rPr>
          <w:lang w:val="en-US" w:eastAsia="zh-CN"/>
        </w:rPr>
      </w:pPr>
      <w:r>
        <w:rPr>
          <w:lang w:val="en-US" w:eastAsia="zh-CN"/>
        </w:rPr>
        <w:t>It can be observed that</w:t>
      </w:r>
      <w:r w:rsidR="00431501">
        <w:rPr>
          <w:lang w:val="en-US" w:eastAsia="zh-CN"/>
        </w:rPr>
        <w:t xml:space="preserve"> the phase offset for different channel p</w:t>
      </w:r>
      <w:r>
        <w:rPr>
          <w:lang w:val="en-US" w:eastAsia="zh-CN"/>
        </w:rPr>
        <w:t>aths can be different as the AoA/ZoA</w:t>
      </w:r>
      <w:r w:rsidR="00431501">
        <w:rPr>
          <w:lang w:val="en-US" w:eastAsia="zh-CN"/>
        </w:rPr>
        <w:t xml:space="preserve"> for the channel paths can be different.</w:t>
      </w:r>
      <w:r>
        <w:rPr>
          <w:lang w:val="en-US" w:eastAsia="zh-CN"/>
        </w:rPr>
        <w:t xml:space="preserve"> Therefore the TDCP measured from TRS with different precoding schemes can be different. There can be two options to configure the TRS for TDCP report:</w:t>
      </w:r>
    </w:p>
    <w:p w:rsidR="00C75D1E" w:rsidRDefault="00C75D1E">
      <w:pPr>
        <w:pStyle w:val="0Maintext"/>
        <w:numPr>
          <w:ilvl w:val="0"/>
          <w:numId w:val="4"/>
        </w:numPr>
        <w:spacing w:after="120" w:afterAutospacing="0" w:line="240" w:lineRule="auto"/>
        <w:rPr>
          <w:lang w:val="en-US" w:eastAsia="zh-CN"/>
        </w:rPr>
      </w:pPr>
      <w:r>
        <w:rPr>
          <w:lang w:val="en-US" w:eastAsia="zh-CN"/>
        </w:rPr>
        <w:t xml:space="preserve">Option 1: TDCP measured based on precoded TRSs </w:t>
      </w:r>
    </w:p>
    <w:p w:rsidR="00C75D1E" w:rsidRDefault="00C75D1E">
      <w:pPr>
        <w:pStyle w:val="0Maintext"/>
        <w:numPr>
          <w:ilvl w:val="0"/>
          <w:numId w:val="4"/>
        </w:numPr>
        <w:spacing w:after="120" w:afterAutospacing="0" w:line="240" w:lineRule="auto"/>
        <w:rPr>
          <w:lang w:val="en-US" w:eastAsia="zh-CN"/>
        </w:rPr>
      </w:pPr>
      <w:r>
        <w:rPr>
          <w:lang w:val="en-US" w:eastAsia="zh-CN"/>
        </w:rPr>
        <w:t>Option 2: TDCP measured based on non-precoded TRS</w:t>
      </w:r>
    </w:p>
    <w:p w:rsidR="00C75D1E" w:rsidRDefault="00C75D1E" w:rsidP="00431501">
      <w:pPr>
        <w:pStyle w:val="0Maintext"/>
        <w:spacing w:after="120" w:afterAutospacing="0" w:line="240" w:lineRule="auto"/>
        <w:ind w:firstLine="0"/>
        <w:rPr>
          <w:lang w:val="en-US" w:eastAsia="zh-CN"/>
        </w:rPr>
      </w:pPr>
      <w:r>
        <w:rPr>
          <w:lang w:val="en-US" w:eastAsia="zh-CN"/>
        </w:rPr>
        <w:lastRenderedPageBreak/>
        <w:t>In option 1, the gNB can apply the precoder based on the latest reported CSI to the each TRS, then based on the reported TDCP, gNB can perform CSI prediction.</w:t>
      </w:r>
      <w:r w:rsidR="00C567A9">
        <w:rPr>
          <w:lang w:val="en-US" w:eastAsia="zh-CN"/>
        </w:rPr>
        <w:t xml:space="preserve"> </w:t>
      </w:r>
      <w:r>
        <w:rPr>
          <w:lang w:val="en-US" w:eastAsia="zh-CN"/>
        </w:rPr>
        <w:t xml:space="preserve"> In option 2, the TRS configured in active TCI state can be used for TDCP report. Then the reported TDCP can assist gNB to decide when to trigger CSI report. Therefore, for CMR configuration for TDCP report, </w:t>
      </w:r>
      <w:r w:rsidR="00C567A9">
        <w:rPr>
          <w:lang w:val="en-US" w:eastAsia="zh-CN"/>
        </w:rPr>
        <w:t>the following options should be supported:</w:t>
      </w:r>
    </w:p>
    <w:p w:rsidR="00C567A9" w:rsidRDefault="00C567A9">
      <w:pPr>
        <w:pStyle w:val="0Maintext"/>
        <w:numPr>
          <w:ilvl w:val="0"/>
          <w:numId w:val="5"/>
        </w:numPr>
        <w:spacing w:after="120" w:afterAutospacing="0" w:line="240" w:lineRule="auto"/>
        <w:rPr>
          <w:lang w:val="en-US" w:eastAsia="zh-CN"/>
        </w:rPr>
      </w:pPr>
      <w:r>
        <w:rPr>
          <w:lang w:val="en-US" w:eastAsia="zh-CN"/>
        </w:rPr>
        <w:t>Option 1: Configure N TRSs as CMRs, where N is equal to the maximum rank from the configured rank restriction</w:t>
      </w:r>
    </w:p>
    <w:p w:rsidR="00C567A9" w:rsidRDefault="00C567A9">
      <w:pPr>
        <w:pStyle w:val="0Maintext"/>
        <w:numPr>
          <w:ilvl w:val="0"/>
          <w:numId w:val="5"/>
        </w:numPr>
        <w:spacing w:after="120" w:afterAutospacing="0" w:line="240" w:lineRule="auto"/>
        <w:rPr>
          <w:lang w:val="en-US" w:eastAsia="zh-CN"/>
        </w:rPr>
      </w:pPr>
      <w:r>
        <w:rPr>
          <w:lang w:val="en-US" w:eastAsia="zh-CN"/>
        </w:rPr>
        <w:t>Option 2: Do not configure any CMR, and the TRS(s) configured in active TCI state(s) are used for TDCP measurement and report</w:t>
      </w:r>
    </w:p>
    <w:p w:rsidR="00431501" w:rsidRDefault="00CB1727" w:rsidP="00431501">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EA489F">
        <w:rPr>
          <w:rFonts w:cs="Times New Roman"/>
          <w:b/>
          <w:i/>
          <w:lang w:val="en-US" w:eastAsia="zh-CN"/>
        </w:rPr>
        <w:t>9</w:t>
      </w:r>
      <w:r w:rsidRPr="00CB1727">
        <w:rPr>
          <w:rFonts w:cs="Times New Roman"/>
          <w:b/>
          <w:i/>
          <w:lang w:val="en-US" w:eastAsia="zh-CN"/>
        </w:rPr>
        <w:t xml:space="preserve">: </w:t>
      </w:r>
      <w:r w:rsidR="00C567A9">
        <w:rPr>
          <w:rFonts w:cs="Times New Roman"/>
          <w:b/>
          <w:i/>
          <w:lang w:val="en-US" w:eastAsia="zh-CN"/>
        </w:rPr>
        <w:t>With regard to different TRS precoding schemes, support the following options for CMR configuration for TDCP report:</w:t>
      </w:r>
    </w:p>
    <w:p w:rsidR="00C567A9" w:rsidRPr="00C567A9" w:rsidRDefault="00C567A9">
      <w:pPr>
        <w:pStyle w:val="0Maintext"/>
        <w:numPr>
          <w:ilvl w:val="0"/>
          <w:numId w:val="5"/>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C567A9" w:rsidRPr="00C97612" w:rsidRDefault="00C567A9">
      <w:pPr>
        <w:pStyle w:val="0Maintext"/>
        <w:numPr>
          <w:ilvl w:val="0"/>
          <w:numId w:val="5"/>
        </w:numPr>
        <w:spacing w:after="120" w:afterAutospacing="0" w:line="240" w:lineRule="auto"/>
        <w:rPr>
          <w:b/>
          <w:i/>
          <w:lang w:val="en-US" w:eastAsia="zh-CN"/>
        </w:rPr>
      </w:pPr>
      <w:r w:rsidRPr="00C567A9">
        <w:rPr>
          <w:b/>
          <w:i/>
          <w:lang w:val="en-US" w:eastAsia="zh-CN"/>
        </w:rPr>
        <w:t>Option 2: Do not configure any CMR, and the TRS(s) configured in active TCI state(s) are used for TDCP measurement and report</w:t>
      </w:r>
    </w:p>
    <w:p w:rsidR="00C97612" w:rsidRPr="00C97612" w:rsidRDefault="00C97612" w:rsidP="00431501">
      <w:pPr>
        <w:pStyle w:val="0Maintext"/>
        <w:spacing w:after="120" w:afterAutospacing="0" w:line="240" w:lineRule="auto"/>
        <w:ind w:firstLine="0"/>
        <w:rPr>
          <w:rFonts w:cs="Times New Roman"/>
          <w:lang w:val="en-US" w:eastAsia="zh-CN"/>
        </w:rPr>
      </w:pPr>
      <w:r>
        <w:rPr>
          <w:rFonts w:cs="Times New Roman"/>
          <w:lang w:val="en-US" w:eastAsia="zh-CN"/>
        </w:rPr>
        <w:t>In addition, the 1-slot based TRS structure is not feasible for TDCP measurement, as the Doppler shift measurement requires measurement for DL signals from at least two different time offsets. Thus</w:t>
      </w:r>
      <w:r w:rsidR="003F7724">
        <w:rPr>
          <w:rFonts w:cs="Times New Roman"/>
          <w:lang w:val="en-US" w:eastAsia="zh-CN"/>
        </w:rPr>
        <w:t>,</w:t>
      </w:r>
      <w:r>
        <w:rPr>
          <w:rFonts w:cs="Times New Roman"/>
          <w:lang w:val="en-US" w:eastAsia="zh-CN"/>
        </w:rPr>
        <w:t xml:space="preserve"> the TRS configured for TDCP measurement report should be 2-slot based TRS structure. </w:t>
      </w:r>
    </w:p>
    <w:p w:rsidR="00C97612" w:rsidRDefault="00C97612" w:rsidP="00431501">
      <w:pPr>
        <w:pStyle w:val="0Maintext"/>
        <w:spacing w:after="120" w:afterAutospacing="0" w:line="240" w:lineRule="auto"/>
        <w:ind w:firstLine="0"/>
        <w:rPr>
          <w:rFonts w:cs="Times New Roman"/>
          <w:b/>
          <w:i/>
          <w:lang w:val="en-US" w:eastAsia="zh-CN"/>
        </w:rPr>
      </w:pPr>
      <w:r>
        <w:rPr>
          <w:rFonts w:cs="Times New Roman"/>
          <w:b/>
          <w:i/>
          <w:lang w:val="en-US" w:eastAsia="zh-CN"/>
        </w:rPr>
        <w:t xml:space="preserve">Proposal </w:t>
      </w:r>
      <w:r w:rsidR="00EA489F">
        <w:rPr>
          <w:rFonts w:cs="Times New Roman"/>
          <w:b/>
          <w:i/>
          <w:lang w:val="en-US" w:eastAsia="zh-CN"/>
        </w:rPr>
        <w:t>10</w:t>
      </w:r>
      <w:r>
        <w:rPr>
          <w:rFonts w:cs="Times New Roman"/>
          <w:b/>
          <w:i/>
          <w:lang w:val="en-US" w:eastAsia="zh-CN"/>
        </w:rPr>
        <w:t>: The TRS configured for TDCP measurement should be based on 2-slot structure.</w:t>
      </w:r>
    </w:p>
    <w:p w:rsidR="00CB1727" w:rsidRPr="00CB1727" w:rsidRDefault="00CB1727" w:rsidP="00CB1727">
      <w:pPr>
        <w:pStyle w:val="Heading2"/>
      </w:pPr>
      <w:r>
        <w:t>Report quantity for TDCP</w:t>
      </w:r>
    </w:p>
    <w:p w:rsidR="00A01B96" w:rsidRDefault="00A01B96" w:rsidP="009C1B6C">
      <w:pPr>
        <w:pStyle w:val="0Maintext"/>
        <w:spacing w:after="120" w:afterAutospacing="0" w:line="240" w:lineRule="auto"/>
        <w:ind w:firstLine="0"/>
        <w:rPr>
          <w:lang w:val="en-US" w:eastAsia="zh-CN"/>
        </w:rPr>
      </w:pPr>
      <w:r>
        <w:rPr>
          <w:lang w:val="en-US" w:eastAsia="zh-CN"/>
        </w:rPr>
        <w:t>In RAN1 #110</w:t>
      </w:r>
      <w:r w:rsidR="003F7724">
        <w:rPr>
          <w:lang w:val="en-US" w:eastAsia="zh-CN"/>
        </w:rPr>
        <w:t>b</w:t>
      </w:r>
      <w:r>
        <w:rPr>
          <w:lang w:val="en-US" w:eastAsia="zh-CN"/>
        </w:rPr>
        <w:t>, the following on report quantity for TDCP has been agreed.</w:t>
      </w:r>
    </w:p>
    <w:tbl>
      <w:tblPr>
        <w:tblStyle w:val="TableGrid"/>
        <w:tblW w:w="0" w:type="auto"/>
        <w:tblLook w:val="04A0" w:firstRow="1" w:lastRow="0" w:firstColumn="1" w:lastColumn="0" w:noHBand="0" w:noVBand="1"/>
      </w:tblPr>
      <w:tblGrid>
        <w:gridCol w:w="9010"/>
      </w:tblGrid>
      <w:tr w:rsidR="00A01B96" w:rsidTr="00A01B96">
        <w:tc>
          <w:tcPr>
            <w:tcW w:w="9010" w:type="dxa"/>
          </w:tcPr>
          <w:p w:rsidR="003F7724" w:rsidRPr="00F41BA9" w:rsidRDefault="003F7724" w:rsidP="003F7724">
            <w:pPr>
              <w:jc w:val="both"/>
              <w:rPr>
                <w:b/>
                <w:bCs/>
                <w:iCs/>
                <w:sz w:val="20"/>
                <w:szCs w:val="20"/>
                <w:highlight w:val="green"/>
              </w:rPr>
            </w:pPr>
            <w:r w:rsidRPr="00F41BA9">
              <w:rPr>
                <w:b/>
                <w:bCs/>
                <w:iCs/>
                <w:sz w:val="20"/>
                <w:szCs w:val="20"/>
                <w:highlight w:val="green"/>
              </w:rPr>
              <w:t>Agreement</w:t>
            </w:r>
          </w:p>
          <w:p w:rsidR="003F7724" w:rsidRPr="00F41BA9" w:rsidRDefault="003F7724" w:rsidP="003F7724">
            <w:pPr>
              <w:snapToGrid w:val="0"/>
              <w:rPr>
                <w:sz w:val="20"/>
                <w:szCs w:val="20"/>
              </w:rPr>
            </w:pPr>
            <w:r w:rsidRPr="00F41BA9">
              <w:rPr>
                <w:sz w:val="20"/>
                <w:szCs w:val="20"/>
              </w:rPr>
              <w:t>For the Rel-18 TRS-based TDCP reporting, down select one of the following alternatives by RAN1#110bis-e:</w:t>
            </w:r>
          </w:p>
          <w:p w:rsidR="003F7724" w:rsidRPr="00F41BA9" w:rsidRDefault="003F7724">
            <w:pPr>
              <w:numPr>
                <w:ilvl w:val="0"/>
                <w:numId w:val="9"/>
              </w:numPr>
              <w:snapToGrid w:val="0"/>
              <w:rPr>
                <w:sz w:val="20"/>
                <w:szCs w:val="20"/>
              </w:rPr>
            </w:pPr>
            <w:r w:rsidRPr="00F41BA9">
              <w:rPr>
                <w:sz w:val="20"/>
                <w:szCs w:val="20"/>
              </w:rPr>
              <w:t>AltA. Based on Doppler profile</w:t>
            </w:r>
          </w:p>
          <w:p w:rsidR="003F7724" w:rsidRPr="00F41BA9" w:rsidRDefault="003F7724">
            <w:pPr>
              <w:numPr>
                <w:ilvl w:val="1"/>
                <w:numId w:val="9"/>
              </w:numPr>
              <w:snapToGrid w:val="0"/>
              <w:rPr>
                <w:sz w:val="20"/>
                <w:szCs w:val="20"/>
              </w:rPr>
            </w:pPr>
            <w:r w:rsidRPr="00F41BA9">
              <w:rPr>
                <w:sz w:val="20"/>
                <w:szCs w:val="20"/>
              </w:rPr>
              <w:t>E.g., Doppler spread derived from the 2</w:t>
            </w:r>
            <w:r w:rsidRPr="00F41BA9">
              <w:rPr>
                <w:sz w:val="20"/>
                <w:szCs w:val="20"/>
                <w:vertAlign w:val="superscript"/>
              </w:rPr>
              <w:t>nd</w:t>
            </w:r>
            <w:r w:rsidRPr="00F41BA9">
              <w:rPr>
                <w:sz w:val="20"/>
                <w:szCs w:val="20"/>
              </w:rPr>
              <w:t xml:space="preserve"> moment of Doppler power spectrum, average Doppler shifts, Doppler shift per resource, maximum Doppler shift, relative Doppler shift, etc</w:t>
            </w:r>
          </w:p>
          <w:p w:rsidR="003F7724" w:rsidRPr="00F41BA9" w:rsidRDefault="003F7724">
            <w:pPr>
              <w:numPr>
                <w:ilvl w:val="0"/>
                <w:numId w:val="9"/>
              </w:numPr>
              <w:snapToGrid w:val="0"/>
              <w:rPr>
                <w:sz w:val="20"/>
                <w:szCs w:val="20"/>
              </w:rPr>
            </w:pPr>
            <w:r w:rsidRPr="00F41BA9">
              <w:rPr>
                <w:sz w:val="20"/>
                <w:szCs w:val="20"/>
              </w:rPr>
              <w:t xml:space="preserve">AltB. Based on </w:t>
            </w:r>
            <w:r w:rsidRPr="00F41BA9">
              <w:rPr>
                <w:rStyle w:val="Emphasis"/>
                <w:sz w:val="20"/>
                <w:szCs w:val="20"/>
              </w:rPr>
              <w:t>quantized amplitude of</w:t>
            </w:r>
            <w:r w:rsidRPr="00F41BA9">
              <w:rPr>
                <w:sz w:val="20"/>
                <w:szCs w:val="20"/>
              </w:rPr>
              <w:t xml:space="preserve"> time-domain correlation profile</w:t>
            </w:r>
          </w:p>
          <w:p w:rsidR="003F7724" w:rsidRPr="00F41BA9" w:rsidRDefault="003F7724">
            <w:pPr>
              <w:numPr>
                <w:ilvl w:val="1"/>
                <w:numId w:val="9"/>
              </w:numPr>
              <w:snapToGrid w:val="0"/>
              <w:rPr>
                <w:sz w:val="20"/>
                <w:szCs w:val="20"/>
              </w:rPr>
            </w:pPr>
            <w:r w:rsidRPr="00F41BA9">
              <w:rPr>
                <w:sz w:val="20"/>
                <w:szCs w:val="20"/>
              </w:rPr>
              <w:t>E.g. Correlation within one TRS resource, correlation across multiple TRS resources</w:t>
            </w:r>
          </w:p>
          <w:p w:rsidR="003F7724" w:rsidRPr="00F41BA9" w:rsidRDefault="003F7724">
            <w:pPr>
              <w:numPr>
                <w:ilvl w:val="1"/>
                <w:numId w:val="9"/>
              </w:numPr>
              <w:snapToGrid w:val="0"/>
              <w:rPr>
                <w:sz w:val="20"/>
                <w:szCs w:val="20"/>
              </w:rPr>
            </w:pPr>
            <w:r w:rsidRPr="00F41BA9">
              <w:rPr>
                <w:sz w:val="20"/>
                <w:szCs w:val="20"/>
              </w:rPr>
              <w:t>Note: The correlation over one or more lags of TRS resource may be considered.  The lags may be within one TRS burst or different TRS bursts</w:t>
            </w:r>
          </w:p>
          <w:p w:rsidR="003F7724" w:rsidRPr="00F41BA9" w:rsidRDefault="003F7724" w:rsidP="003F7724">
            <w:pPr>
              <w:snapToGrid w:val="0"/>
              <w:rPr>
                <w:sz w:val="20"/>
                <w:szCs w:val="20"/>
              </w:rPr>
            </w:pPr>
            <w:r w:rsidRPr="00F41BA9">
              <w:rPr>
                <w:sz w:val="20"/>
                <w:szCs w:val="20"/>
              </w:rPr>
              <w:t>Note: Different alternatives may or may not apply to different use cases</w:t>
            </w:r>
            <w:r w:rsidRPr="00F41BA9">
              <w:rPr>
                <w:rStyle w:val="Emphasis"/>
                <w:b/>
                <w:bCs/>
                <w:sz w:val="20"/>
                <w:szCs w:val="20"/>
              </w:rPr>
              <w:t xml:space="preserve">  </w:t>
            </w:r>
          </w:p>
          <w:p w:rsidR="003F7724" w:rsidRPr="00F41BA9" w:rsidRDefault="003F7724" w:rsidP="003F7724">
            <w:pPr>
              <w:snapToGrid w:val="0"/>
              <w:jc w:val="both"/>
              <w:rPr>
                <w:sz w:val="20"/>
                <w:szCs w:val="20"/>
              </w:rPr>
            </w:pPr>
            <w:r w:rsidRPr="00F41BA9">
              <w:rPr>
                <w:sz w:val="20"/>
                <w:szCs w:val="20"/>
              </w:rPr>
              <w:t>FFS: The need for a measure of confidence level in the TDCP report, and/or UE behaviour when the quality of TDCP measurement is not sufficiently high</w:t>
            </w:r>
          </w:p>
          <w:p w:rsidR="003F7724" w:rsidRPr="00F41BA9" w:rsidRDefault="003F7724" w:rsidP="003F7724">
            <w:pPr>
              <w:wordWrap w:val="0"/>
              <w:rPr>
                <w:sz w:val="20"/>
                <w:szCs w:val="20"/>
              </w:rPr>
            </w:pPr>
            <w:r w:rsidRPr="00F41BA9">
              <w:rPr>
                <w:sz w:val="20"/>
                <w:szCs w:val="20"/>
              </w:rPr>
              <w:t>FFS: TDCP parameter(s) signaled with respect to each alternative</w:t>
            </w:r>
          </w:p>
          <w:p w:rsidR="00A01B96" w:rsidRDefault="00A01B96" w:rsidP="009C1B6C">
            <w:pPr>
              <w:pStyle w:val="0Maintext"/>
              <w:spacing w:after="120" w:afterAutospacing="0" w:line="240" w:lineRule="auto"/>
              <w:ind w:firstLine="0"/>
              <w:rPr>
                <w:lang w:val="en-US" w:eastAsia="zh-CN"/>
              </w:rPr>
            </w:pPr>
          </w:p>
        </w:tc>
      </w:tr>
    </w:tbl>
    <w:p w:rsidR="00A01B96" w:rsidRDefault="00A01B96" w:rsidP="009C1B6C">
      <w:pPr>
        <w:pStyle w:val="0Maintext"/>
        <w:spacing w:after="120" w:afterAutospacing="0" w:line="240" w:lineRule="auto"/>
        <w:ind w:firstLine="0"/>
        <w:rPr>
          <w:lang w:val="en-US" w:eastAsia="zh-CN"/>
        </w:rPr>
      </w:pPr>
    </w:p>
    <w:p w:rsidR="00A01B96" w:rsidRDefault="00A01B96" w:rsidP="009C1B6C">
      <w:pPr>
        <w:pStyle w:val="0Maintext"/>
        <w:spacing w:after="120" w:afterAutospacing="0" w:line="240" w:lineRule="auto"/>
        <w:ind w:firstLine="0"/>
        <w:rPr>
          <w:lang w:val="en-US" w:eastAsia="zh-CN"/>
        </w:rPr>
      </w:pPr>
      <w:r>
        <w:rPr>
          <w:lang w:val="en-US" w:eastAsia="zh-CN"/>
        </w:rPr>
        <w:t xml:space="preserve">The target for TDCP report is to facilitate the CSI measurement related configuration. For a UE with a high velocity, the gNB may trigger the CSI report more frequently than the UE with a low velocity. One possible metric to judge whether the new CSI is needed can be based on the cosine similarity for the eigenvectors in the most recent reported CSI and current channel. A </w:t>
      </w:r>
      <w:r w:rsidR="00B32BED">
        <w:rPr>
          <w:lang w:val="en-US" w:eastAsia="zh-CN"/>
        </w:rPr>
        <w:t xml:space="preserve">weighted </w:t>
      </w:r>
      <w:r>
        <w:rPr>
          <w:lang w:val="en-US" w:eastAsia="zh-CN"/>
        </w:rPr>
        <w:t>square cosine similarity (SCS) can be calculated as follows:</w:t>
      </w:r>
    </w:p>
    <w:p w:rsidR="00A01B96" w:rsidRDefault="00A01B96" w:rsidP="009C1B6C">
      <w:pPr>
        <w:pStyle w:val="0Maintext"/>
        <w:spacing w:after="120" w:afterAutospacing="0" w:line="240" w:lineRule="auto"/>
        <w:ind w:firstLine="0"/>
        <w:rPr>
          <w:lang w:val="en-US" w:eastAsia="zh-CN"/>
        </w:rPr>
      </w:pPr>
      <m:oMathPara>
        <m:oMath>
          <m:r>
            <w:rPr>
              <w:rFonts w:ascii="Cambria Math" w:hAnsi="Cambria Math"/>
              <w:lang w:val="en-US" w:eastAsia="zh-CN"/>
            </w:rPr>
            <m:t>SCS=</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R</m:t>
              </m:r>
            </m:den>
          </m:f>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p>
                <m:sSupPr>
                  <m:ctrlPr>
                    <w:rPr>
                      <w:rFonts w:ascii="Cambria Math" w:hAnsi="Cambria Math"/>
                      <w:i/>
                      <w:lang w:val="en-US" w:eastAsia="zh-CN"/>
                    </w:rPr>
                  </m:ctrlPr>
                </m:sSupPr>
                <m:e>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num>
                    <m:den>
                      <m:nary>
                        <m:naryPr>
                          <m:chr m:val="∑"/>
                          <m:limLoc m:val="undOvr"/>
                          <m:ctrlPr>
                            <w:rPr>
                              <w:rFonts w:ascii="Cambria Math" w:hAnsi="Cambria Math"/>
                              <w:i/>
                              <w:lang w:val="en-US" w:eastAsia="zh-CN"/>
                            </w:rPr>
                          </m:ctrlPr>
                        </m:naryPr>
                        <m:sub>
                          <m:r>
                            <w:rPr>
                              <w:rFonts w:ascii="Cambria Math" w:hAnsi="Cambria Math"/>
                              <w:lang w:val="en-US" w:eastAsia="zh-CN"/>
                            </w:rPr>
                            <m:t>j=1</m:t>
                          </m:r>
                        </m:sub>
                        <m:sup>
                          <m:r>
                            <w:rPr>
                              <w:rFonts w:ascii="Cambria Math" w:hAnsi="Cambria Math"/>
                              <w:lang w:val="en-US" w:eastAsia="zh-CN"/>
                            </w:rPr>
                            <m:t>R</m:t>
                          </m:r>
                        </m:sup>
                        <m:e>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e>
                      </m:nary>
                    </m:den>
                  </m:f>
                  <m:r>
                    <w:rPr>
                      <w:rFonts w:ascii="Cambria Math" w:hAnsi="Cambria Math"/>
                      <w:lang w:val="en-US" w:eastAsia="zh-CN"/>
                    </w:rPr>
                    <m:t>(</m:t>
                  </m:r>
                  <m:f>
                    <m:fPr>
                      <m:ctrlPr>
                        <w:rPr>
                          <w:rFonts w:ascii="Cambria Math" w:hAnsi="Cambria Math"/>
                          <w:i/>
                          <w:lang w:val="en-US" w:eastAsia="zh-CN"/>
                        </w:rPr>
                      </m:ctrlPr>
                    </m:fPr>
                    <m:num>
                      <m:d>
                        <m:dPr>
                          <m:begChr m:val="‖"/>
                          <m:endChr m:val="‖"/>
                          <m:ctrlPr>
                            <w:rPr>
                              <w:rFonts w:ascii="Cambria Math" w:hAnsi="Cambria Math"/>
                              <w:i/>
                              <w:lang w:val="en-US" w:eastAsia="zh-CN"/>
                            </w:rPr>
                          </m:ctrlPr>
                        </m:dPr>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e>
                              </m:d>
                            </m:e>
                            <m:sup>
                              <m:r>
                                <w:rPr>
                                  <w:rFonts w:ascii="Cambria Math" w:hAnsi="Cambria Math"/>
                                  <w:lang w:val="en-US" w:eastAsia="zh-CN"/>
                                </w:rPr>
                                <m:t>H</m:t>
                              </m:r>
                            </m:sup>
                          </m:sSup>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num>
                    <m:den>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r>
                            <w:rPr>
                              <w:rFonts w:ascii="Cambria Math" w:hAnsi="Cambria Math"/>
                              <w:lang w:val="en-US" w:eastAsia="zh-CN"/>
                            </w:rPr>
                            <m:t>(j)</m:t>
                          </m:r>
                        </m:e>
                      </m:d>
                      <m:d>
                        <m:dPr>
                          <m:begChr m:val="‖"/>
                          <m:endChr m:val="‖"/>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0</m:t>
                                  </m:r>
                                </m:sub>
                              </m:sSub>
                            </m:sub>
                          </m:sSub>
                          <m:r>
                            <w:rPr>
                              <w:rFonts w:ascii="Cambria Math" w:hAnsi="Cambria Math"/>
                              <w:lang w:val="en-US" w:eastAsia="zh-CN"/>
                            </w:rPr>
                            <m:t>(j)</m:t>
                          </m:r>
                        </m:e>
                      </m:d>
                    </m:den>
                  </m:f>
                  <m:r>
                    <w:rPr>
                      <w:rFonts w:ascii="Cambria Math" w:hAnsi="Cambria Math"/>
                      <w:lang w:val="en-US" w:eastAsia="zh-CN"/>
                    </w:rPr>
                    <m:t>)</m:t>
                  </m:r>
                </m:e>
                <m:sup>
                  <m:r>
                    <w:rPr>
                      <w:rFonts w:ascii="Cambria Math" w:hAnsi="Cambria Math"/>
                      <w:lang w:val="en-US" w:eastAsia="zh-CN"/>
                    </w:rPr>
                    <m:t>2</m:t>
                  </m:r>
                </m:sup>
              </m:sSup>
            </m:e>
          </m:nary>
        </m:oMath>
      </m:oMathPara>
    </w:p>
    <w:p w:rsidR="0083540A" w:rsidRDefault="0083540A" w:rsidP="009C1B6C">
      <w:pPr>
        <w:pStyle w:val="0Maintext"/>
        <w:spacing w:after="120" w:afterAutospacing="0" w:line="240" w:lineRule="auto"/>
        <w:ind w:firstLine="0"/>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t</m:t>
            </m:r>
          </m:sub>
        </m:sSub>
        <m:d>
          <m:dPr>
            <m:ctrlPr>
              <w:rPr>
                <w:rFonts w:ascii="Cambria Math" w:hAnsi="Cambria Math"/>
                <w:i/>
                <w:lang w:val="en-US" w:eastAsia="zh-CN"/>
              </w:rPr>
            </m:ctrlPr>
          </m:dPr>
          <m:e>
            <m:r>
              <w:rPr>
                <w:rFonts w:ascii="Cambria Math" w:hAnsi="Cambria Math"/>
                <w:lang w:val="en-US" w:eastAsia="zh-CN"/>
              </w:rPr>
              <m:t>j</m:t>
            </m:r>
          </m:e>
        </m:d>
      </m:oMath>
      <w:r>
        <w:rPr>
          <w:lang w:val="en-US" w:eastAsia="zh-CN"/>
        </w:rPr>
        <w:t xml:space="preserve"> indicates the </w:t>
      </w:r>
      <w:r w:rsidRPr="0083540A">
        <w:rPr>
          <w:i/>
          <w:iCs/>
          <w:lang w:val="en-US" w:eastAsia="zh-CN"/>
        </w:rPr>
        <w:t>j</w:t>
      </w:r>
      <w:r w:rsidRPr="0083540A">
        <w:rPr>
          <w:i/>
          <w:iCs/>
          <w:vertAlign w:val="superscript"/>
          <w:lang w:val="en-US" w:eastAsia="zh-CN"/>
        </w:rPr>
        <w:t>th</w:t>
      </w:r>
      <w:r>
        <w:rPr>
          <w:lang w:val="en-US" w:eastAsia="zh-CN"/>
        </w:rPr>
        <w:t xml:space="preserve"> column of the channel eigenvector at time </w:t>
      </w:r>
      <w:r w:rsidRPr="0083540A">
        <w:rPr>
          <w:i/>
          <w:iCs/>
          <w:lang w:val="en-US" w:eastAsia="zh-CN"/>
        </w:rPr>
        <w:t>t</w:t>
      </w:r>
      <w:r>
        <w:rPr>
          <w:lang w:val="en-US" w:eastAsia="zh-CN"/>
        </w:rPr>
        <w:t xml:space="preserve">; </w:t>
      </w:r>
      <w:r w:rsidRPr="0083540A">
        <w:rPr>
          <w:i/>
          <w:iCs/>
          <w:lang w:val="en-US" w:eastAsia="zh-CN"/>
        </w:rPr>
        <w:t>R</w:t>
      </w:r>
      <w:r>
        <w:rPr>
          <w:lang w:val="en-US" w:eastAsia="zh-CN"/>
        </w:rPr>
        <w:t xml:space="preserve"> indicates the number of layers</w:t>
      </w:r>
      <w:r w:rsidR="00EA489F">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λ</m:t>
            </m:r>
          </m:e>
          <m:sub>
            <m:r>
              <w:rPr>
                <w:rFonts w:ascii="Cambria Math" w:hAnsi="Cambria Math"/>
                <w:lang w:val="en-US" w:eastAsia="zh-CN"/>
              </w:rPr>
              <m:t>j</m:t>
            </m:r>
          </m:sub>
        </m:sSub>
      </m:oMath>
      <w:r w:rsidR="00EA489F">
        <w:rPr>
          <w:lang w:val="en-US" w:eastAsia="zh-CN"/>
        </w:rPr>
        <w:t xml:space="preserve"> indicates the energy of layer </w:t>
      </w:r>
      <w:r w:rsidR="00EA489F" w:rsidRPr="00EA489F">
        <w:rPr>
          <w:i/>
          <w:iCs/>
          <w:lang w:val="en-US" w:eastAsia="zh-CN"/>
        </w:rPr>
        <w:t>j</w:t>
      </w:r>
      <w:r>
        <w:rPr>
          <w:lang w:val="en-US" w:eastAsia="zh-CN"/>
        </w:rPr>
        <w:t>.</w:t>
      </w:r>
      <w:r w:rsidR="00B32BED">
        <w:rPr>
          <w:lang w:val="en-US" w:eastAsia="zh-CN"/>
        </w:rPr>
        <w:t xml:space="preserve"> </w:t>
      </w:r>
      <w:r>
        <w:rPr>
          <w:lang w:val="en-US" w:eastAsia="zh-CN"/>
        </w:rPr>
        <w:t>Then the SCS can be considered as a metric to determine whether the previously reported CSI get outdated or not</w:t>
      </w:r>
      <w:r w:rsidR="00B32BED">
        <w:rPr>
          <w:lang w:val="en-US" w:eastAsia="zh-CN"/>
        </w:rPr>
        <w:t>, which was agreed as a metric for AI/ML based CSI compression and prediction.</w:t>
      </w:r>
      <w:r>
        <w:rPr>
          <w:lang w:val="en-US" w:eastAsia="zh-CN"/>
        </w:rPr>
        <w:t xml:space="preserve"> We did some evaluation to see whether there is any connection between the </w:t>
      </w:r>
      <w:r w:rsidR="002F3CE9">
        <w:rPr>
          <w:lang w:val="en-US" w:eastAsia="zh-CN"/>
        </w:rPr>
        <w:t>Doppler spread and SCS (Alt</w:t>
      </w:r>
      <w:r w:rsidR="00B32BED">
        <w:rPr>
          <w:lang w:val="en-US" w:eastAsia="zh-CN"/>
        </w:rPr>
        <w:t>A</w:t>
      </w:r>
      <w:r w:rsidR="002F3CE9">
        <w:rPr>
          <w:lang w:val="en-US" w:eastAsia="zh-CN"/>
        </w:rPr>
        <w:t>) as well as channel auto-correlation and SCS (Alt</w:t>
      </w:r>
      <w:r w:rsidR="00B32BED">
        <w:rPr>
          <w:lang w:val="en-US" w:eastAsia="zh-CN"/>
        </w:rPr>
        <w:t>B</w:t>
      </w:r>
      <w:r w:rsidR="002F3CE9">
        <w:rPr>
          <w:lang w:val="en-US" w:eastAsia="zh-CN"/>
        </w:rPr>
        <w:t xml:space="preserve">), with an assumption that t0 = 5ms. The evaluation considers UE velocity of [3km/h, 10km/h, 20km/h, 30km/h, 60km/h, 120km/h], and for each UE velocity, 1000 snapshots are used. Detailed simulation assumption is illustrated in Table A-1 in appendix. </w:t>
      </w:r>
    </w:p>
    <w:p w:rsidR="00EA489F" w:rsidRDefault="002F3CE9" w:rsidP="00EA489F">
      <w:pPr>
        <w:pStyle w:val="0Maintext"/>
        <w:spacing w:after="120" w:afterAutospacing="0" w:line="240" w:lineRule="auto"/>
        <w:ind w:firstLine="0"/>
        <w:rPr>
          <w:lang w:val="en-US" w:eastAsia="zh-CN"/>
        </w:rPr>
      </w:pPr>
      <w:r>
        <w:rPr>
          <w:lang w:val="en-US" w:eastAsia="zh-CN"/>
        </w:rPr>
        <w:lastRenderedPageBreak/>
        <w:t xml:space="preserve">Figure </w:t>
      </w:r>
      <w:r w:rsidR="00EA489F">
        <w:rPr>
          <w:lang w:val="en-US" w:eastAsia="zh-CN"/>
        </w:rPr>
        <w:t>1</w:t>
      </w:r>
      <w:r>
        <w:rPr>
          <w:lang w:val="en-US" w:eastAsia="zh-CN"/>
        </w:rPr>
        <w:t xml:space="preserve"> illustrates </w:t>
      </w:r>
      <w:r w:rsidR="00EA489F">
        <w:rPr>
          <w:lang w:val="en-US" w:eastAsia="zh-CN"/>
        </w:rPr>
        <w:t xml:space="preserve">weighted </w:t>
      </w:r>
      <w:r w:rsidR="00BA7862">
        <w:rPr>
          <w:lang w:val="en-US" w:eastAsia="zh-CN"/>
        </w:rPr>
        <w:t>SCS</w:t>
      </w:r>
      <w:r w:rsidR="00EA489F">
        <w:rPr>
          <w:lang w:val="en-US" w:eastAsia="zh-CN"/>
        </w:rPr>
        <w:t xml:space="preserve"> for all layers</w:t>
      </w:r>
      <w:r>
        <w:rPr>
          <w:lang w:val="en-US" w:eastAsia="zh-CN"/>
        </w:rPr>
        <w:t xml:space="preserve"> </w:t>
      </w:r>
      <w:r w:rsidR="00EA489F">
        <w:rPr>
          <w:lang w:val="en-US" w:eastAsia="zh-CN"/>
        </w:rPr>
        <w:t>vs. maximum perfect Doppler shift across all taps</w:t>
      </w:r>
      <w:r w:rsidR="00BA7862">
        <w:rPr>
          <w:lang w:val="en-US" w:eastAsia="zh-CN"/>
        </w:rPr>
        <w:t xml:space="preserve">. </w:t>
      </w:r>
      <w:r w:rsidR="00EA489F">
        <w:rPr>
          <w:lang w:val="en-US" w:eastAsia="zh-CN"/>
        </w:rPr>
        <w:t xml:space="preserve">Figure 2 illustrates weighted SCS for all layers vs. maximum perfect Doppler shift minus minimal Doppler shift across all taps. Figure 3 illustrates weighted SCS for all layers vs. mean perfect Doppler shift across all taps. </w:t>
      </w:r>
      <w:r w:rsidR="00B32BED">
        <w:rPr>
          <w:lang w:val="en-US" w:eastAsia="zh-CN"/>
        </w:rPr>
        <w:t>The weighted SCS is calculated based on the SCS for eigenvectors for the channels with 5ms offset. If we set SCS=0.</w:t>
      </w:r>
      <w:r w:rsidR="00FB1280">
        <w:rPr>
          <w:lang w:val="en-US" w:eastAsia="zh-CN"/>
        </w:rPr>
        <w:t>2</w:t>
      </w:r>
      <w:r w:rsidR="00B32BED">
        <w:rPr>
          <w:lang w:val="en-US" w:eastAsia="zh-CN"/>
        </w:rPr>
        <w:t xml:space="preserve">5 as a </w:t>
      </w:r>
      <w:r w:rsidR="00F60DBB">
        <w:rPr>
          <w:lang w:val="en-US" w:eastAsia="zh-CN"/>
        </w:rPr>
        <w:t>threshold</w:t>
      </w:r>
      <w:r w:rsidR="00B32BED">
        <w:rPr>
          <w:lang w:val="en-US" w:eastAsia="zh-CN"/>
        </w:rPr>
        <w:t xml:space="preserve"> to determine whether the CSI is outdated or not, it can be observed that </w:t>
      </w:r>
      <w:r w:rsidR="00716E8F">
        <w:rPr>
          <w:lang w:val="en-US" w:eastAsia="zh-CN"/>
        </w:rPr>
        <w:t>the gNB can decide to trigger a CSI report if the perfect Doppler shift is above 50Hz. Thus, perfect Doppler shift can assist the gNB to determine whether the CSI could be outdated or not.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drawing>
          <wp:inline distT="0" distB="0" distL="0" distR="0" wp14:anchorId="4E2F56E1" wp14:editId="740A74C1">
            <wp:extent cx="3840000" cy="28800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40000" cy="2880000"/>
                    </a:xfrm>
                    <a:prstGeom prst="rect">
                      <a:avLst/>
                    </a:prstGeom>
                  </pic:spPr>
                </pic:pic>
              </a:graphicData>
            </a:graphic>
          </wp:inline>
        </w:drawing>
      </w:r>
    </w:p>
    <w:p w:rsidR="00E1506C" w:rsidRPr="000A2F14" w:rsidRDefault="00E1506C"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1</w:t>
      </w:r>
      <w:r w:rsidRPr="000A2F14">
        <w:rPr>
          <w:b/>
          <w:bCs/>
          <w:lang w:val="en-US" w:eastAsia="zh-CN"/>
        </w:rPr>
        <w:t xml:space="preserve">: SCS </w:t>
      </w:r>
      <w:r>
        <w:rPr>
          <w:b/>
          <w:bCs/>
          <w:lang w:val="en-US" w:eastAsia="zh-CN"/>
        </w:rPr>
        <w:t>vs. maximum perfect Doppler shift</w:t>
      </w:r>
    </w:p>
    <w:p w:rsidR="00EA489F" w:rsidRDefault="00E1506C" w:rsidP="00B9698B">
      <w:pPr>
        <w:pStyle w:val="0Maintext"/>
        <w:spacing w:after="120" w:afterAutospacing="0" w:line="240" w:lineRule="auto"/>
        <w:ind w:firstLine="0"/>
        <w:jc w:val="center"/>
        <w:rPr>
          <w:lang w:val="en-US" w:eastAsia="zh-CN"/>
        </w:rPr>
      </w:pPr>
      <w:r w:rsidRPr="00E1506C">
        <w:rPr>
          <w:noProof/>
          <w:lang w:val="en-US" w:eastAsia="zh-CN"/>
        </w:rPr>
        <w:drawing>
          <wp:inline distT="0" distB="0" distL="0" distR="0" wp14:anchorId="2786938E" wp14:editId="2CBD590B">
            <wp:extent cx="3840000" cy="28800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2</w:t>
      </w:r>
      <w:r w:rsidRPr="000A2F14">
        <w:rPr>
          <w:b/>
          <w:bCs/>
          <w:lang w:val="en-US" w:eastAsia="zh-CN"/>
        </w:rPr>
        <w:t xml:space="preserve">: SCS </w:t>
      </w:r>
      <w:r>
        <w:rPr>
          <w:b/>
          <w:bCs/>
          <w:lang w:val="en-US" w:eastAsia="zh-CN"/>
        </w:rPr>
        <w:t>vs. maximum perfect Doppler shift – minimal perfect Doppler shift</w:t>
      </w:r>
    </w:p>
    <w:p w:rsidR="00EA489F" w:rsidRDefault="00EA489F" w:rsidP="00B9698B">
      <w:pPr>
        <w:pStyle w:val="0Maintext"/>
        <w:spacing w:after="120" w:afterAutospacing="0" w:line="240" w:lineRule="auto"/>
        <w:ind w:firstLine="0"/>
        <w:jc w:val="center"/>
        <w:rPr>
          <w:lang w:val="en-US" w:eastAsia="zh-CN"/>
        </w:rPr>
      </w:pPr>
    </w:p>
    <w:p w:rsidR="00E1506C" w:rsidRDefault="00E1506C" w:rsidP="00B9698B">
      <w:pPr>
        <w:pStyle w:val="0Maintext"/>
        <w:spacing w:after="120" w:afterAutospacing="0" w:line="240" w:lineRule="auto"/>
        <w:ind w:firstLine="0"/>
        <w:jc w:val="center"/>
        <w:rPr>
          <w:lang w:val="en-US" w:eastAsia="zh-CN"/>
        </w:rPr>
      </w:pPr>
      <w:r w:rsidRPr="00E1506C">
        <w:rPr>
          <w:noProof/>
          <w:lang w:val="en-US" w:eastAsia="zh-CN"/>
        </w:rPr>
        <w:lastRenderedPageBreak/>
        <w:drawing>
          <wp:inline distT="0" distB="0" distL="0" distR="0" wp14:anchorId="0B64269F" wp14:editId="73839A05">
            <wp:extent cx="3840000" cy="28800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0000" cy="2880000"/>
                    </a:xfrm>
                    <a:prstGeom prst="rect">
                      <a:avLst/>
                    </a:prstGeom>
                  </pic:spPr>
                </pic:pic>
              </a:graphicData>
            </a:graphic>
          </wp:inline>
        </w:drawing>
      </w:r>
    </w:p>
    <w:p w:rsidR="00B9698B" w:rsidRPr="000A2F14" w:rsidRDefault="00B9698B" w:rsidP="00B9698B">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3</w:t>
      </w:r>
      <w:r w:rsidRPr="000A2F14">
        <w:rPr>
          <w:b/>
          <w:bCs/>
          <w:lang w:val="en-US" w:eastAsia="zh-CN"/>
        </w:rPr>
        <w:t xml:space="preserve">: SCS </w:t>
      </w:r>
      <w:r>
        <w:rPr>
          <w:b/>
          <w:bCs/>
          <w:lang w:val="en-US" w:eastAsia="zh-CN"/>
        </w:rPr>
        <w:t>vs. mean perfect Doppler shift</w:t>
      </w:r>
    </w:p>
    <w:p w:rsidR="00B32BED" w:rsidRPr="00B32BED" w:rsidRDefault="00B32BED" w:rsidP="00B32BED">
      <w:pPr>
        <w:pStyle w:val="0Maintext"/>
        <w:spacing w:after="120" w:afterAutospacing="0" w:line="240" w:lineRule="auto"/>
        <w:ind w:firstLine="0"/>
        <w:rPr>
          <w:b/>
          <w:bCs/>
          <w:i/>
          <w:iCs/>
          <w:lang w:val="en-US" w:eastAsia="zh-CN"/>
        </w:rPr>
      </w:pPr>
      <w:r w:rsidRPr="00B32BED">
        <w:rPr>
          <w:b/>
          <w:bCs/>
          <w:i/>
          <w:iCs/>
          <w:lang w:val="en-US" w:eastAsia="zh-CN"/>
        </w:rPr>
        <w:t xml:space="preserve">Observation 1: </w:t>
      </w:r>
      <w:r w:rsidR="00716E8F">
        <w:rPr>
          <w:b/>
          <w:bCs/>
          <w:i/>
          <w:iCs/>
          <w:lang w:val="en-US" w:eastAsia="zh-CN"/>
        </w:rPr>
        <w:t>P</w:t>
      </w:r>
      <w:r w:rsidR="00716E8F" w:rsidRPr="00716E8F">
        <w:rPr>
          <w:b/>
          <w:bCs/>
          <w:i/>
          <w:iCs/>
          <w:lang w:val="en-US" w:eastAsia="zh-CN"/>
        </w:rPr>
        <w:t>erfect Doppler shift can assist the gNB to determine whether the CSI could be outdated or not.</w:t>
      </w:r>
    </w:p>
    <w:p w:rsidR="00B32BED" w:rsidRDefault="00B32BED" w:rsidP="00B32BED">
      <w:pPr>
        <w:pStyle w:val="0Maintext"/>
        <w:spacing w:after="120" w:afterAutospacing="0" w:line="240" w:lineRule="auto"/>
        <w:ind w:firstLine="0"/>
        <w:rPr>
          <w:lang w:val="en-US" w:eastAsia="zh-CN"/>
        </w:rPr>
      </w:pPr>
      <w:r>
        <w:rPr>
          <w:lang w:val="en-US" w:eastAsia="zh-CN"/>
        </w:rPr>
        <w:t xml:space="preserve">Figure 4 illustrates weighted SCS for all layers vs. maximum perfect channel correlation among the top-8 taps. Figure 5 illustrates weighted SCS for all layers vs. minimum perfect channel correlation among the top-8 taps. Figure 6 illustrates weighted SCS for all layers vs. mean perfect channel correlation among the top-8 taps. The calculation of channel correlation is based on 10 TRS bursts with 2-slot TRS per burst. </w:t>
      </w:r>
      <w:r w:rsidR="00655D81">
        <w:rPr>
          <w:lang w:val="en-US" w:eastAsia="zh-CN"/>
        </w:rPr>
        <w:t xml:space="preserve">The channel correlation is calculated </w:t>
      </w:r>
      <w:r w:rsidR="00C31D45">
        <w:rPr>
          <w:lang w:val="en-US" w:eastAsia="zh-CN"/>
        </w:rPr>
        <w:t>based on</w:t>
      </w:r>
      <w:r w:rsidR="00655D81">
        <w:rPr>
          <w:lang w:val="en-US" w:eastAsia="zh-CN"/>
        </w:rPr>
        <w:t xml:space="preserve"> the interpolation </w:t>
      </w:r>
      <w:r w:rsidR="00C31D45">
        <w:rPr>
          <w:lang w:val="en-US" w:eastAsia="zh-CN"/>
        </w:rPr>
        <w:t>of</w:t>
      </w:r>
      <w:r w:rsidR="00655D81">
        <w:rPr>
          <w:lang w:val="en-US" w:eastAsia="zh-CN"/>
        </w:rPr>
        <w:t xml:space="preserve"> the measured channel correlation within a slot and across slots. </w:t>
      </w:r>
      <w:r>
        <w:rPr>
          <w:lang w:val="en-US" w:eastAsia="zh-CN"/>
        </w:rPr>
        <w:t>It can be observed that there is no clear classification to determine whether the CSI is outdated or not based on direct channel correlation.</w:t>
      </w: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drawing>
          <wp:inline distT="0" distB="0" distL="0" distR="0" wp14:anchorId="55C7A61F" wp14:editId="34E983A5">
            <wp:extent cx="3840000" cy="2880000"/>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4</w:t>
      </w:r>
      <w:r w:rsidRPr="000A2F14">
        <w:rPr>
          <w:b/>
          <w:bCs/>
          <w:lang w:val="en-US" w:eastAsia="zh-CN"/>
        </w:rPr>
        <w:t xml:space="preserve">: SCS </w:t>
      </w:r>
      <w:r>
        <w:rPr>
          <w:b/>
          <w:bCs/>
          <w:lang w:val="en-US" w:eastAsia="zh-CN"/>
        </w:rPr>
        <w:t>vs. maximum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lastRenderedPageBreak/>
        <w:drawing>
          <wp:inline distT="0" distB="0" distL="0" distR="0" wp14:anchorId="5EF727F5" wp14:editId="4E6375D0">
            <wp:extent cx="3840000" cy="28800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5</w:t>
      </w:r>
      <w:r w:rsidRPr="000A2F14">
        <w:rPr>
          <w:b/>
          <w:bCs/>
          <w:lang w:val="en-US" w:eastAsia="zh-CN"/>
        </w:rPr>
        <w:t xml:space="preserve">: SCS </w:t>
      </w:r>
      <w:r>
        <w:rPr>
          <w:b/>
          <w:bCs/>
          <w:lang w:val="en-US" w:eastAsia="zh-CN"/>
        </w:rPr>
        <w:t>vs. mean channel correlation</w:t>
      </w:r>
    </w:p>
    <w:p w:rsidR="00B32BED" w:rsidRDefault="00B32BED" w:rsidP="00B32BED">
      <w:pPr>
        <w:pStyle w:val="0Maintext"/>
        <w:spacing w:after="120" w:afterAutospacing="0" w:line="240" w:lineRule="auto"/>
        <w:ind w:firstLine="0"/>
        <w:jc w:val="center"/>
        <w:rPr>
          <w:lang w:val="en-US" w:eastAsia="zh-CN"/>
        </w:rPr>
      </w:pPr>
    </w:p>
    <w:p w:rsidR="00B32BED" w:rsidRDefault="00C31D45" w:rsidP="00B32BED">
      <w:pPr>
        <w:pStyle w:val="0Maintext"/>
        <w:spacing w:after="120" w:afterAutospacing="0" w:line="240" w:lineRule="auto"/>
        <w:ind w:firstLine="0"/>
        <w:jc w:val="center"/>
        <w:rPr>
          <w:lang w:val="en-US" w:eastAsia="zh-CN"/>
        </w:rPr>
      </w:pPr>
      <w:r w:rsidRPr="00C31D45">
        <w:rPr>
          <w:noProof/>
          <w:lang w:val="en-US" w:eastAsia="zh-CN"/>
        </w:rPr>
        <w:drawing>
          <wp:inline distT="0" distB="0" distL="0" distR="0" wp14:anchorId="686A6477" wp14:editId="5045C93D">
            <wp:extent cx="3840000" cy="288000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40000" cy="2880000"/>
                    </a:xfrm>
                    <a:prstGeom prst="rect">
                      <a:avLst/>
                    </a:prstGeom>
                  </pic:spPr>
                </pic:pic>
              </a:graphicData>
            </a:graphic>
          </wp:inline>
        </w:drawing>
      </w:r>
    </w:p>
    <w:p w:rsidR="00B32BED" w:rsidRPr="000A2F14" w:rsidRDefault="00B32BED" w:rsidP="00B32BED">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6</w:t>
      </w:r>
      <w:r w:rsidRPr="000A2F14">
        <w:rPr>
          <w:b/>
          <w:bCs/>
          <w:lang w:val="en-US" w:eastAsia="zh-CN"/>
        </w:rPr>
        <w:t xml:space="preserve">: SCS </w:t>
      </w:r>
      <w:r>
        <w:rPr>
          <w:b/>
          <w:bCs/>
          <w:lang w:val="en-US" w:eastAsia="zh-CN"/>
        </w:rPr>
        <w:t xml:space="preserve">vs. minimum </w:t>
      </w:r>
      <w:r>
        <w:rPr>
          <w:rFonts w:hint="eastAsia"/>
          <w:b/>
          <w:bCs/>
          <w:lang w:val="en-US" w:eastAsia="zh-CN"/>
        </w:rPr>
        <w:t>c</w:t>
      </w:r>
      <w:r>
        <w:rPr>
          <w:b/>
          <w:bCs/>
          <w:lang w:val="en-US" w:eastAsia="zh-CN"/>
        </w:rPr>
        <w:t>hannel correlation</w:t>
      </w:r>
    </w:p>
    <w:p w:rsidR="00B32BED" w:rsidRPr="00971D4F" w:rsidRDefault="00971D4F" w:rsidP="00B32BED">
      <w:pPr>
        <w:pStyle w:val="0Maintext"/>
        <w:spacing w:after="120" w:afterAutospacing="0" w:line="240" w:lineRule="auto"/>
        <w:ind w:firstLine="0"/>
        <w:rPr>
          <w:b/>
          <w:bCs/>
          <w:i/>
          <w:iCs/>
          <w:lang w:val="en-US" w:eastAsia="zh-CN"/>
        </w:rPr>
      </w:pPr>
      <w:r w:rsidRPr="00971D4F">
        <w:rPr>
          <w:b/>
          <w:bCs/>
          <w:i/>
          <w:iCs/>
          <w:lang w:val="en-US" w:eastAsia="zh-CN"/>
        </w:rPr>
        <w:t>Observation 2: Channel correlation cannot provide direct information to determine whether the CSI is outdated or not.</w:t>
      </w:r>
    </w:p>
    <w:p w:rsidR="00E1506C" w:rsidRDefault="00B32BED" w:rsidP="009C1B6C">
      <w:pPr>
        <w:pStyle w:val="0Maintext"/>
        <w:spacing w:after="120" w:afterAutospacing="0" w:line="240" w:lineRule="auto"/>
        <w:ind w:firstLine="0"/>
        <w:rPr>
          <w:lang w:val="en-US" w:eastAsia="zh-CN"/>
        </w:rPr>
      </w:pPr>
      <w:r>
        <w:rPr>
          <w:lang w:val="en-US" w:eastAsia="zh-CN"/>
        </w:rPr>
        <w:t xml:space="preserve">Figure 7 illustrates weighted SCS for all layers vs. maximum estimated Doppler shift among the top-8 taps. Figure 8 illustrates weighted SCS for all layers vs. maximum estimated Doppler shift minus minimal estimated Doppler shift among the top-8 taps. Figure 9 illustrates weighted SCS for all layers vs. mean estimated Doppler shift among the top-8 taps. </w:t>
      </w:r>
      <w:r w:rsidR="00655D81">
        <w:rPr>
          <w:lang w:val="en-US" w:eastAsia="zh-CN"/>
        </w:rPr>
        <w:t xml:space="preserve">The calculation of estimated Doppler shift </w:t>
      </w:r>
      <w:r w:rsidR="00655D81">
        <w:rPr>
          <w:rFonts w:hint="eastAsia"/>
          <w:lang w:val="en-US" w:eastAsia="zh-CN"/>
        </w:rPr>
        <w:t>i</w:t>
      </w:r>
      <w:r w:rsidR="00655D81">
        <w:rPr>
          <w:lang w:val="en-US" w:eastAsia="zh-CN"/>
        </w:rPr>
        <w:t>s based on 10 TRS bursts with 2-slot TRS per burst.</w:t>
      </w:r>
      <w:r w:rsidR="001E4337">
        <w:rPr>
          <w:lang w:val="en-US" w:eastAsia="zh-CN"/>
        </w:rPr>
        <w:t xml:space="preserve"> The calculation is based on Bessel function as described in R1-221053. Compared to direct channel correlation, estimated Doppler can provide better classification. </w:t>
      </w:r>
      <w:r w:rsidR="00716E8F">
        <w:rPr>
          <w:lang w:val="en-US" w:eastAsia="zh-CN"/>
        </w:rPr>
        <w:t xml:space="preserve">If we set SCS=0.25 as a threshold to determine whether the CSI is outdated or not, it can be observed that the gNB can decide to trigger a CSI report if the estimated </w:t>
      </w:r>
      <w:r w:rsidR="005057C4">
        <w:rPr>
          <w:lang w:val="en-US" w:eastAsia="zh-CN"/>
        </w:rPr>
        <w:t xml:space="preserve">maximum </w:t>
      </w:r>
      <w:r w:rsidR="00716E8F">
        <w:rPr>
          <w:lang w:val="en-US" w:eastAsia="zh-CN"/>
        </w:rPr>
        <w:t>Doppler shift is above 50Hz. Thus, estimated Doppler shift can assist the gNB to determine whether the CSI could be outdated or not.</w:t>
      </w:r>
    </w:p>
    <w:p w:rsidR="001E4337" w:rsidRDefault="001905AF" w:rsidP="001E4337">
      <w:pPr>
        <w:pStyle w:val="0Maintext"/>
        <w:spacing w:after="120" w:afterAutospacing="0" w:line="240" w:lineRule="auto"/>
        <w:ind w:firstLine="0"/>
        <w:jc w:val="center"/>
        <w:rPr>
          <w:lang w:val="en-US" w:eastAsia="zh-CN"/>
        </w:rPr>
      </w:pPr>
      <w:r w:rsidRPr="001905AF">
        <w:rPr>
          <w:noProof/>
          <w:lang w:val="en-US" w:eastAsia="zh-CN"/>
        </w:rPr>
        <w:lastRenderedPageBreak/>
        <w:drawing>
          <wp:inline distT="0" distB="0" distL="0" distR="0" wp14:anchorId="55A8B980" wp14:editId="4B471B0F">
            <wp:extent cx="3840000" cy="2880000"/>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40000" cy="2880000"/>
                    </a:xfrm>
                    <a:prstGeom prst="rect">
                      <a:avLst/>
                    </a:prstGeom>
                  </pic:spPr>
                </pic:pic>
              </a:graphicData>
            </a:graphic>
          </wp:inline>
        </w:drawing>
      </w:r>
    </w:p>
    <w:p w:rsidR="001E4337"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7</w:t>
      </w:r>
      <w:r w:rsidRPr="000A2F14">
        <w:rPr>
          <w:b/>
          <w:bCs/>
          <w:lang w:val="en-US" w:eastAsia="zh-CN"/>
        </w:rPr>
        <w:t xml:space="preserve">: SCS </w:t>
      </w:r>
      <w:r>
        <w:rPr>
          <w:b/>
          <w:bCs/>
          <w:lang w:val="en-US" w:eastAsia="zh-CN"/>
        </w:rPr>
        <w:t>vs. maximum estimated Doppler shift based on Bessel function</w:t>
      </w:r>
    </w:p>
    <w:p w:rsidR="001E4337" w:rsidRDefault="001905AF" w:rsidP="001E4337">
      <w:pPr>
        <w:pStyle w:val="0Maintext"/>
        <w:spacing w:after="120" w:afterAutospacing="0" w:line="240" w:lineRule="auto"/>
        <w:ind w:firstLine="0"/>
        <w:jc w:val="center"/>
        <w:rPr>
          <w:lang w:val="en-US" w:eastAsia="zh-CN"/>
        </w:rPr>
      </w:pPr>
      <w:r w:rsidRPr="001905AF">
        <w:rPr>
          <w:noProof/>
          <w:lang w:val="en-US" w:eastAsia="zh-CN"/>
        </w:rPr>
        <w:drawing>
          <wp:inline distT="0" distB="0" distL="0" distR="0" wp14:anchorId="547DC9B7" wp14:editId="27A29C28">
            <wp:extent cx="3840000" cy="2880000"/>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40000" cy="2880000"/>
                    </a:xfrm>
                    <a:prstGeom prst="rect">
                      <a:avLst/>
                    </a:prstGeom>
                  </pic:spPr>
                </pic:pic>
              </a:graphicData>
            </a:graphic>
          </wp:inline>
        </w:drawing>
      </w:r>
    </w:p>
    <w:p w:rsidR="003E3705" w:rsidRDefault="001E4337" w:rsidP="001E4337">
      <w:pPr>
        <w:pStyle w:val="0Maintext"/>
        <w:spacing w:after="120" w:afterAutospacing="0" w:line="240" w:lineRule="auto"/>
        <w:ind w:firstLine="0"/>
        <w:jc w:val="center"/>
        <w:rPr>
          <w:lang w:val="en-US" w:eastAsia="zh-CN"/>
        </w:rPr>
      </w:pPr>
      <w:r w:rsidRPr="000A2F14">
        <w:rPr>
          <w:b/>
          <w:bCs/>
          <w:lang w:val="en-US" w:eastAsia="zh-CN"/>
        </w:rPr>
        <w:t xml:space="preserve">Figure </w:t>
      </w:r>
      <w:r>
        <w:rPr>
          <w:b/>
          <w:bCs/>
          <w:lang w:val="en-US" w:eastAsia="zh-CN"/>
        </w:rPr>
        <w:t>8</w:t>
      </w:r>
      <w:r w:rsidRPr="000A2F14">
        <w:rPr>
          <w:b/>
          <w:bCs/>
          <w:lang w:val="en-US" w:eastAsia="zh-CN"/>
        </w:rPr>
        <w:t xml:space="preserve">: SCS </w:t>
      </w:r>
      <w:r>
        <w:rPr>
          <w:b/>
          <w:bCs/>
          <w:lang w:val="en-US" w:eastAsia="zh-CN"/>
        </w:rPr>
        <w:t>vs. maximum estimated Doppler shift – minimum estimated Doppler shift based on Bessel function</w:t>
      </w:r>
    </w:p>
    <w:p w:rsidR="003E3705" w:rsidRDefault="001905AF" w:rsidP="001E4337">
      <w:pPr>
        <w:pStyle w:val="0Maintext"/>
        <w:spacing w:after="120" w:afterAutospacing="0" w:line="240" w:lineRule="auto"/>
        <w:ind w:firstLine="0"/>
        <w:jc w:val="center"/>
        <w:rPr>
          <w:lang w:val="en-US" w:eastAsia="zh-CN"/>
        </w:rPr>
      </w:pPr>
      <w:r w:rsidRPr="001905AF">
        <w:rPr>
          <w:noProof/>
          <w:lang w:val="en-US" w:eastAsia="zh-CN"/>
        </w:rPr>
        <w:lastRenderedPageBreak/>
        <w:drawing>
          <wp:inline distT="0" distB="0" distL="0" distR="0" wp14:anchorId="089426F0" wp14:editId="58BD64BF">
            <wp:extent cx="3840000"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40000" cy="2880000"/>
                    </a:xfrm>
                    <a:prstGeom prst="rect">
                      <a:avLst/>
                    </a:prstGeom>
                  </pic:spPr>
                </pic:pic>
              </a:graphicData>
            </a:graphic>
          </wp:inline>
        </w:drawing>
      </w:r>
    </w:p>
    <w:p w:rsidR="001E4337" w:rsidRPr="000A2F14" w:rsidRDefault="001E4337" w:rsidP="001E4337">
      <w:pPr>
        <w:pStyle w:val="0Maintext"/>
        <w:spacing w:after="120" w:afterAutospacing="0" w:line="240" w:lineRule="auto"/>
        <w:ind w:firstLine="0"/>
        <w:jc w:val="center"/>
        <w:rPr>
          <w:b/>
          <w:bCs/>
          <w:lang w:val="en-US" w:eastAsia="zh-CN"/>
        </w:rPr>
      </w:pPr>
      <w:r w:rsidRPr="000A2F14">
        <w:rPr>
          <w:b/>
          <w:bCs/>
          <w:lang w:val="en-US" w:eastAsia="zh-CN"/>
        </w:rPr>
        <w:t xml:space="preserve">Figure </w:t>
      </w:r>
      <w:r>
        <w:rPr>
          <w:b/>
          <w:bCs/>
          <w:lang w:val="en-US" w:eastAsia="zh-CN"/>
        </w:rPr>
        <w:t>9</w:t>
      </w:r>
      <w:r w:rsidRPr="000A2F14">
        <w:rPr>
          <w:b/>
          <w:bCs/>
          <w:lang w:val="en-US" w:eastAsia="zh-CN"/>
        </w:rPr>
        <w:t xml:space="preserve">: SCS </w:t>
      </w:r>
      <w:r>
        <w:rPr>
          <w:b/>
          <w:bCs/>
          <w:lang w:val="en-US" w:eastAsia="zh-CN"/>
        </w:rPr>
        <w:t>vs. mean estimated Doppler shift based on Bessel function</w:t>
      </w:r>
    </w:p>
    <w:p w:rsidR="00716E8F" w:rsidRPr="00B32BED" w:rsidRDefault="00716E8F" w:rsidP="00716E8F">
      <w:pPr>
        <w:pStyle w:val="0Maintext"/>
        <w:spacing w:after="120" w:afterAutospacing="0" w:line="240" w:lineRule="auto"/>
        <w:ind w:firstLine="0"/>
        <w:rPr>
          <w:b/>
          <w:bCs/>
          <w:i/>
          <w:iCs/>
          <w:lang w:val="en-US" w:eastAsia="zh-CN"/>
        </w:rPr>
      </w:pPr>
      <w:r w:rsidRPr="00B32BED">
        <w:rPr>
          <w:b/>
          <w:bCs/>
          <w:i/>
          <w:iCs/>
          <w:lang w:val="en-US" w:eastAsia="zh-CN"/>
        </w:rPr>
        <w:t xml:space="preserve">Observation </w:t>
      </w:r>
      <w:r>
        <w:rPr>
          <w:b/>
          <w:bCs/>
          <w:i/>
          <w:iCs/>
          <w:lang w:val="en-US" w:eastAsia="zh-CN"/>
        </w:rPr>
        <w:t>3</w:t>
      </w:r>
      <w:r w:rsidRPr="00B32BED">
        <w:rPr>
          <w:b/>
          <w:bCs/>
          <w:i/>
          <w:iCs/>
          <w:lang w:val="en-US" w:eastAsia="zh-CN"/>
        </w:rPr>
        <w:t xml:space="preserve">: </w:t>
      </w:r>
      <w:r>
        <w:rPr>
          <w:b/>
          <w:bCs/>
          <w:i/>
          <w:iCs/>
          <w:lang w:val="en-US" w:eastAsia="zh-CN"/>
        </w:rPr>
        <w:t>Estimated</w:t>
      </w:r>
      <w:r w:rsidRPr="00716E8F">
        <w:rPr>
          <w:b/>
          <w:bCs/>
          <w:i/>
          <w:iCs/>
          <w:lang w:val="en-US" w:eastAsia="zh-CN"/>
        </w:rPr>
        <w:t xml:space="preserve"> Doppler shift can assist the gNB to determine whether the CSI could be outdated or not.</w:t>
      </w:r>
    </w:p>
    <w:p w:rsidR="00BA7862" w:rsidRDefault="000A2F14" w:rsidP="009C1B6C">
      <w:pPr>
        <w:pStyle w:val="0Maintext"/>
        <w:spacing w:after="120" w:afterAutospacing="0" w:line="240" w:lineRule="auto"/>
        <w:ind w:firstLine="0"/>
        <w:rPr>
          <w:lang w:val="en-US" w:eastAsia="zh-CN"/>
        </w:rPr>
      </w:pPr>
      <w:r>
        <w:rPr>
          <w:lang w:val="en-US" w:eastAsia="zh-CN"/>
        </w:rPr>
        <w:t>Based on the evaluation results above, it can be observed that the channel correlation should be considered as an inter-mediate state, which cannot be used to classify the UE velocity and SCS to determine CSI configuration scheme</w:t>
      </w:r>
      <w:r w:rsidR="00716E8F">
        <w:rPr>
          <w:lang w:val="en-US" w:eastAsia="zh-CN"/>
        </w:rPr>
        <w:t xml:space="preserve"> directly</w:t>
      </w:r>
      <w:r>
        <w:rPr>
          <w:lang w:val="en-US" w:eastAsia="zh-CN"/>
        </w:rPr>
        <w:t xml:space="preserve">. </w:t>
      </w:r>
      <w:r w:rsidR="001A5717">
        <w:rPr>
          <w:lang w:val="en-US" w:eastAsia="zh-CN"/>
        </w:rPr>
        <w:t xml:space="preserve">Compared to the channel auto-correlation, the Doppler </w:t>
      </w:r>
      <w:r w:rsidR="00716E8F">
        <w:rPr>
          <w:lang w:val="en-US" w:eastAsia="zh-CN"/>
        </w:rPr>
        <w:t>shift</w:t>
      </w:r>
      <w:r w:rsidR="001A5717">
        <w:rPr>
          <w:lang w:val="en-US" w:eastAsia="zh-CN"/>
        </w:rPr>
        <w:t xml:space="preserve"> can be used to </w:t>
      </w:r>
      <w:r w:rsidR="00716E8F">
        <w:rPr>
          <w:lang w:val="en-US" w:eastAsia="zh-CN"/>
        </w:rPr>
        <w:t>assist the gNB to determine whether the CSI could be outdated or not</w:t>
      </w:r>
      <w:r w:rsidR="001A5717">
        <w:rPr>
          <w:lang w:val="en-US" w:eastAsia="zh-CN"/>
        </w:rPr>
        <w:t>.</w:t>
      </w:r>
      <w:r w:rsidR="00716E8F">
        <w:rPr>
          <w:lang w:val="en-US" w:eastAsia="zh-CN"/>
        </w:rPr>
        <w:t xml:space="preserve"> Table 1 illustrates a summary on comparison between the Doppler shift report and channel correlation report.</w:t>
      </w:r>
      <w:r w:rsidR="000851E7">
        <w:rPr>
          <w:lang w:val="en-US" w:eastAsia="zh-CN"/>
        </w:rPr>
        <w:t xml:space="preserve"> It can be observed that from the feedback overhead, UE complexity</w:t>
      </w:r>
      <w:r w:rsidR="00884439">
        <w:rPr>
          <w:lang w:val="en-US" w:eastAsia="zh-CN"/>
        </w:rPr>
        <w:t xml:space="preserve">, </w:t>
      </w:r>
      <w:r w:rsidR="000851E7">
        <w:rPr>
          <w:lang w:val="en-US" w:eastAsia="zh-CN"/>
        </w:rPr>
        <w:t xml:space="preserve">gNB complexity </w:t>
      </w:r>
      <w:r w:rsidR="00884439">
        <w:rPr>
          <w:lang w:val="en-US" w:eastAsia="zh-CN"/>
        </w:rPr>
        <w:t xml:space="preserve">and performance </w:t>
      </w:r>
      <w:r w:rsidR="000851E7">
        <w:rPr>
          <w:lang w:val="en-US" w:eastAsia="zh-CN"/>
        </w:rPr>
        <w:t xml:space="preserve">point of view, Doppler shift report </w:t>
      </w:r>
      <w:r w:rsidR="0044061D">
        <w:rPr>
          <w:lang w:val="en-US" w:eastAsia="zh-CN"/>
        </w:rPr>
        <w:t>could</w:t>
      </w:r>
      <w:r w:rsidR="000851E7">
        <w:rPr>
          <w:lang w:val="en-US" w:eastAsia="zh-CN"/>
        </w:rPr>
        <w:t xml:space="preserve"> outperform channel correlation report. </w:t>
      </w:r>
    </w:p>
    <w:p w:rsidR="00716E8F" w:rsidRPr="000851E7" w:rsidRDefault="00716E8F" w:rsidP="000851E7">
      <w:pPr>
        <w:pStyle w:val="0Maintext"/>
        <w:spacing w:after="120" w:afterAutospacing="0" w:line="240" w:lineRule="auto"/>
        <w:ind w:firstLine="0"/>
        <w:jc w:val="center"/>
        <w:rPr>
          <w:b/>
          <w:bCs/>
          <w:lang w:val="en-US" w:eastAsia="zh-CN"/>
        </w:rPr>
      </w:pPr>
      <w:r w:rsidRPr="000851E7">
        <w:rPr>
          <w:b/>
          <w:bCs/>
          <w:lang w:val="en-US" w:eastAsia="zh-CN"/>
        </w:rPr>
        <w:t>Table 1: Doppler shift report vs. channel correlation report</w:t>
      </w:r>
    </w:p>
    <w:tbl>
      <w:tblPr>
        <w:tblStyle w:val="GridTable4-Accent2"/>
        <w:tblW w:w="0" w:type="auto"/>
        <w:tblLook w:val="04A0" w:firstRow="1" w:lastRow="0" w:firstColumn="1" w:lastColumn="0" w:noHBand="0" w:noVBand="1"/>
      </w:tblPr>
      <w:tblGrid>
        <w:gridCol w:w="2405"/>
        <w:gridCol w:w="3601"/>
        <w:gridCol w:w="3004"/>
      </w:tblGrid>
      <w:tr w:rsidR="00716E8F" w:rsidTr="000851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716E8F" w:rsidP="009C1B6C">
            <w:pPr>
              <w:pStyle w:val="0Maintext"/>
              <w:spacing w:after="120" w:afterAutospacing="0" w:line="240" w:lineRule="auto"/>
              <w:ind w:firstLine="0"/>
              <w:rPr>
                <w:lang w:val="en-US" w:eastAsia="zh-CN"/>
              </w:rPr>
            </w:pPr>
          </w:p>
        </w:tc>
        <w:tc>
          <w:tcPr>
            <w:tcW w:w="3601"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Doppler shift report</w:t>
            </w:r>
          </w:p>
        </w:tc>
        <w:tc>
          <w:tcPr>
            <w:tcW w:w="3004" w:type="dxa"/>
          </w:tcPr>
          <w:p w:rsidR="00716E8F" w:rsidRDefault="00716E8F" w:rsidP="009C1B6C">
            <w:pPr>
              <w:pStyle w:val="0Maintext"/>
              <w:spacing w:after="120" w:afterAutospacing="0" w:line="240" w:lineRule="auto"/>
              <w:ind w:firstLine="0"/>
              <w:cnfStyle w:val="100000000000" w:firstRow="1" w:lastRow="0" w:firstColumn="0" w:lastColumn="0" w:oddVBand="0" w:evenVBand="0" w:oddHBand="0" w:evenHBand="0" w:firstRowFirstColumn="0" w:firstRowLastColumn="0" w:lastRowFirstColumn="0" w:lastRowLastColumn="0"/>
              <w:rPr>
                <w:lang w:val="en-US" w:eastAsia="zh-CN"/>
              </w:rPr>
            </w:pPr>
            <w:r>
              <w:rPr>
                <w:lang w:val="en-US" w:eastAsia="zh-CN"/>
              </w:rPr>
              <w:t>Channel correlation report</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Feedback overhead</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rFonts w:hint="eastAsia"/>
                <w:lang w:val="en-US" w:eastAsia="zh-CN"/>
              </w:rPr>
              <w:t>Low</w:t>
            </w:r>
            <w:r w:rsidR="000851E7">
              <w:rPr>
                <w:lang w:val="en-US" w:eastAsia="zh-CN"/>
              </w:rPr>
              <w:t>, e.g., maximum</w:t>
            </w:r>
            <w:r w:rsidR="0044061D">
              <w:rPr>
                <w:lang w:val="en-US" w:eastAsia="zh-CN"/>
              </w:rPr>
              <w:t xml:space="preserve"> or </w:t>
            </w:r>
            <w:r w:rsidR="000851E7">
              <w:rPr>
                <w:lang w:val="en-US" w:eastAsia="zh-CN"/>
              </w:rPr>
              <w:t>mean</w:t>
            </w:r>
            <w:r w:rsidR="0044061D">
              <w:rPr>
                <w:lang w:val="en-US" w:eastAsia="zh-CN"/>
              </w:rPr>
              <w:t xml:space="preserve"> or </w:t>
            </w:r>
            <w:r w:rsidR="000851E7">
              <w:rPr>
                <w:lang w:val="en-US" w:eastAsia="zh-CN"/>
              </w:rPr>
              <w:t xml:space="preserve">delta Doppler shift </w:t>
            </w:r>
            <w:r w:rsidR="0044061D">
              <w:rPr>
                <w:lang w:val="en-US" w:eastAsia="zh-CN"/>
              </w:rPr>
              <w:t>could</w:t>
            </w:r>
            <w:r w:rsidR="000851E7">
              <w:rPr>
                <w:lang w:val="en-US" w:eastAsia="zh-CN"/>
              </w:rPr>
              <w:t xml:space="preserve"> be sufficient</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amplitudes for at least 4 delays and 2 lags are required</w:t>
            </w:r>
          </w:p>
        </w:tc>
      </w:tr>
      <w:tr w:rsidR="00716E8F" w:rsidTr="000851E7">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UE complexity</w:t>
            </w:r>
          </w:p>
        </w:tc>
        <w:tc>
          <w:tcPr>
            <w:tcW w:w="3601" w:type="dxa"/>
          </w:tcPr>
          <w:p w:rsidR="00716E8F" w:rsidRDefault="001905AF"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Low</w:t>
            </w:r>
            <w:r w:rsidR="000851E7">
              <w:rPr>
                <w:lang w:val="en-US" w:eastAsia="zh-CN"/>
              </w:rPr>
              <w:t>, since the UE already measures the Doppler shift for demodulation purpose, if the Doppler shift is measured based on TRS from active TCI state;</w:t>
            </w:r>
          </w:p>
          <w:p w:rsidR="000851E7" w:rsidRDefault="005057C4"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High</w:t>
            </w:r>
            <w:r w:rsidR="000851E7">
              <w:rPr>
                <w:lang w:val="en-US" w:eastAsia="zh-CN"/>
              </w:rPr>
              <w:t>, otherwise. (Use case for this configuration is unclear)</w:t>
            </w:r>
          </w:p>
        </w:tc>
        <w:tc>
          <w:tcPr>
            <w:tcW w:w="3004" w:type="dxa"/>
          </w:tcPr>
          <w:p w:rsidR="00716E8F" w:rsidRDefault="000851E7"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Small</w:t>
            </w:r>
          </w:p>
        </w:tc>
      </w:tr>
      <w:tr w:rsidR="00716E8F" w:rsidTr="000851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rsidR="00716E8F" w:rsidRDefault="000851E7" w:rsidP="009C1B6C">
            <w:pPr>
              <w:pStyle w:val="0Maintext"/>
              <w:spacing w:after="120" w:afterAutospacing="0" w:line="240" w:lineRule="auto"/>
              <w:ind w:firstLine="0"/>
              <w:rPr>
                <w:lang w:val="en-US" w:eastAsia="zh-CN"/>
              </w:rPr>
            </w:pPr>
            <w:r>
              <w:rPr>
                <w:lang w:val="en-US" w:eastAsia="zh-CN"/>
              </w:rPr>
              <w:t>gNB complexity</w:t>
            </w:r>
          </w:p>
        </w:tc>
        <w:tc>
          <w:tcPr>
            <w:tcW w:w="3601" w:type="dxa"/>
          </w:tcPr>
          <w:p w:rsidR="00716E8F" w:rsidRDefault="001905AF"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Low</w:t>
            </w:r>
            <w:r w:rsidR="000851E7">
              <w:rPr>
                <w:lang w:val="en-US" w:eastAsia="zh-CN"/>
              </w:rPr>
              <w:t>, no additional post-processing is needed</w:t>
            </w:r>
          </w:p>
        </w:tc>
        <w:tc>
          <w:tcPr>
            <w:tcW w:w="3004" w:type="dxa"/>
          </w:tcPr>
          <w:p w:rsidR="00716E8F" w:rsidRDefault="005057C4" w:rsidP="009C1B6C">
            <w:pPr>
              <w:pStyle w:val="0Maintext"/>
              <w:spacing w:after="120" w:afterAutospacing="0" w:line="240" w:lineRule="auto"/>
              <w:ind w:firstLine="0"/>
              <w:cnfStyle w:val="000000100000" w:firstRow="0" w:lastRow="0" w:firstColumn="0" w:lastColumn="0" w:oddVBand="0" w:evenVBand="0" w:oddHBand="1" w:evenHBand="0" w:firstRowFirstColumn="0" w:firstRowLastColumn="0" w:lastRowFirstColumn="0" w:lastRowLastColumn="0"/>
              <w:rPr>
                <w:lang w:val="en-US" w:eastAsia="zh-CN"/>
              </w:rPr>
            </w:pPr>
            <w:r>
              <w:rPr>
                <w:lang w:val="en-US" w:eastAsia="zh-CN"/>
              </w:rPr>
              <w:t>High</w:t>
            </w:r>
            <w:r w:rsidR="000851E7">
              <w:rPr>
                <w:lang w:val="en-US" w:eastAsia="zh-CN"/>
              </w:rPr>
              <w:t>, post-processing is needed</w:t>
            </w:r>
          </w:p>
        </w:tc>
      </w:tr>
      <w:tr w:rsidR="00B66555" w:rsidTr="000851E7">
        <w:tc>
          <w:tcPr>
            <w:cnfStyle w:val="001000000000" w:firstRow="0" w:lastRow="0" w:firstColumn="1" w:lastColumn="0" w:oddVBand="0" w:evenVBand="0" w:oddHBand="0" w:evenHBand="0" w:firstRowFirstColumn="0" w:firstRowLastColumn="0" w:lastRowFirstColumn="0" w:lastRowLastColumn="0"/>
            <w:tcW w:w="2405" w:type="dxa"/>
          </w:tcPr>
          <w:p w:rsidR="00B66555" w:rsidRDefault="00B66555" w:rsidP="009C1B6C">
            <w:pPr>
              <w:pStyle w:val="0Maintext"/>
              <w:spacing w:after="120" w:afterAutospacing="0" w:line="240" w:lineRule="auto"/>
              <w:ind w:firstLine="0"/>
              <w:rPr>
                <w:lang w:val="en-US" w:eastAsia="zh-CN"/>
              </w:rPr>
            </w:pPr>
            <w:r>
              <w:rPr>
                <w:lang w:val="en-US" w:eastAsia="zh-CN"/>
              </w:rPr>
              <w:t>Potential benefit for performance enhancement</w:t>
            </w:r>
          </w:p>
        </w:tc>
        <w:tc>
          <w:tcPr>
            <w:tcW w:w="3601"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Additional processing for interference and noise suppression could be applied to improve the performance</w:t>
            </w:r>
          </w:p>
        </w:tc>
        <w:tc>
          <w:tcPr>
            <w:tcW w:w="3004" w:type="dxa"/>
          </w:tcPr>
          <w:p w:rsidR="00B66555" w:rsidRDefault="00B66555" w:rsidP="009C1B6C">
            <w:pPr>
              <w:pStyle w:val="0Maintext"/>
              <w:spacing w:after="120" w:afterAutospacing="0" w:line="240" w:lineRule="auto"/>
              <w:ind w:firstLine="0"/>
              <w:cnfStyle w:val="000000000000" w:firstRow="0" w:lastRow="0" w:firstColumn="0" w:lastColumn="0" w:oddVBand="0" w:evenVBand="0" w:oddHBand="0" w:evenHBand="0" w:firstRowFirstColumn="0" w:firstRowLastColumn="0" w:lastRowFirstColumn="0" w:lastRowLastColumn="0"/>
              <w:rPr>
                <w:lang w:val="en-US" w:eastAsia="zh-CN"/>
              </w:rPr>
            </w:pPr>
            <w:r>
              <w:rPr>
                <w:lang w:val="en-US" w:eastAsia="zh-CN"/>
              </w:rPr>
              <w:t>Hard to apply interference and noise suppression due to lack of interference and noise information</w:t>
            </w:r>
          </w:p>
        </w:tc>
      </w:tr>
    </w:tbl>
    <w:p w:rsidR="00716E8F" w:rsidRDefault="00716E8F" w:rsidP="009C1B6C">
      <w:pPr>
        <w:pStyle w:val="0Maintext"/>
        <w:spacing w:after="120" w:afterAutospacing="0" w:line="240" w:lineRule="auto"/>
        <w:ind w:firstLine="0"/>
        <w:rPr>
          <w:lang w:val="en-US" w:eastAsia="zh-CN"/>
        </w:rPr>
      </w:pPr>
    </w:p>
    <w:p w:rsidR="009C1B6C" w:rsidRPr="009C1B6C" w:rsidRDefault="00C97612" w:rsidP="001A5717">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1</w:t>
      </w:r>
      <w:r w:rsidR="009C1B6C" w:rsidRPr="009C1B6C">
        <w:rPr>
          <w:b/>
          <w:i/>
          <w:lang w:val="en-US" w:eastAsia="zh-CN"/>
        </w:rPr>
        <w:t xml:space="preserve">: </w:t>
      </w:r>
      <w:r w:rsidR="000851E7">
        <w:rPr>
          <w:b/>
          <w:i/>
          <w:lang w:val="en-US" w:eastAsia="zh-CN"/>
        </w:rPr>
        <w:t>Support Doppler profile based TDCP report (Alt A)</w:t>
      </w:r>
      <w:r w:rsidR="001A5717">
        <w:rPr>
          <w:b/>
          <w:i/>
          <w:lang w:val="en-US" w:eastAsia="zh-CN"/>
        </w:rPr>
        <w:t>.</w:t>
      </w:r>
    </w:p>
    <w:p w:rsidR="00CB1727" w:rsidRPr="009C1B6C" w:rsidRDefault="00CB1727" w:rsidP="009C1B6C">
      <w:pPr>
        <w:pStyle w:val="0Maintext"/>
        <w:spacing w:after="120" w:afterAutospacing="0" w:line="240" w:lineRule="auto"/>
        <w:ind w:firstLine="0"/>
        <w:rPr>
          <w:lang w:val="en-US" w:eastAsia="zh-CN"/>
        </w:rPr>
      </w:pPr>
    </w:p>
    <w:p w:rsidR="00714074" w:rsidRDefault="00714074" w:rsidP="00714074">
      <w:pPr>
        <w:pStyle w:val="Heading2"/>
      </w:pPr>
      <w:r>
        <w:t>Priority for TDCP report</w:t>
      </w:r>
    </w:p>
    <w:p w:rsidR="00714074" w:rsidRDefault="00714074" w:rsidP="00557396">
      <w:pPr>
        <w:pStyle w:val="0Maintext"/>
        <w:spacing w:after="120" w:afterAutospacing="0" w:line="240" w:lineRule="auto"/>
        <w:ind w:firstLine="0"/>
        <w:rPr>
          <w:lang w:val="en-US" w:eastAsia="zh-CN"/>
        </w:rPr>
      </w:pPr>
      <w:r>
        <w:rPr>
          <w:lang w:val="en-US" w:eastAsia="zh-CN"/>
        </w:rPr>
        <w:t xml:space="preserve">In Rel-15, the priority for beam report is higher than that for CSI report. As a new report quantity, the priority for TDCP report should be defined. As the TDCP report is used to facilitate CSI report configuration schemes, it may </w:t>
      </w:r>
      <w:r>
        <w:rPr>
          <w:lang w:val="en-US" w:eastAsia="zh-CN"/>
        </w:rPr>
        <w:lastRenderedPageBreak/>
        <w:t>not have more significant impact on the performance than CSI report. Thus</w:t>
      </w:r>
      <w:r w:rsidR="008E3593">
        <w:rPr>
          <w:lang w:val="en-US" w:eastAsia="zh-CN"/>
        </w:rPr>
        <w:t>,</w:t>
      </w:r>
      <w:r>
        <w:rPr>
          <w:lang w:val="en-US" w:eastAsia="zh-CN"/>
        </w:rPr>
        <w:t xml:space="preserve"> CSI report should be prioritized. Then the priority should be beam report &gt; CSI report &gt; TDCP report.</w:t>
      </w:r>
    </w:p>
    <w:p w:rsidR="00714074" w:rsidRPr="00884439" w:rsidRDefault="00C97612" w:rsidP="00557396">
      <w:pPr>
        <w:pStyle w:val="0Maintext"/>
        <w:spacing w:after="120" w:afterAutospacing="0" w:line="240" w:lineRule="auto"/>
        <w:ind w:firstLine="0"/>
        <w:rPr>
          <w:b/>
          <w:i/>
          <w:lang w:val="en-US" w:eastAsia="zh-CN"/>
        </w:rPr>
      </w:pPr>
      <w:r>
        <w:rPr>
          <w:b/>
          <w:i/>
          <w:lang w:val="en-US" w:eastAsia="zh-CN"/>
        </w:rPr>
        <w:t>Proposal 1</w:t>
      </w:r>
      <w:r w:rsidR="000851E7">
        <w:rPr>
          <w:b/>
          <w:i/>
          <w:lang w:val="en-US" w:eastAsia="zh-CN"/>
        </w:rPr>
        <w:t>2</w:t>
      </w:r>
      <w:r w:rsidR="00714074" w:rsidRPr="00714074">
        <w:rPr>
          <w:b/>
          <w:i/>
          <w:lang w:val="en-US" w:eastAsia="zh-CN"/>
        </w:rPr>
        <w:t>: The priority for TDCP report should be lower than CSI report and beam report, when CSI report collision happens.</w:t>
      </w:r>
    </w:p>
    <w:p w:rsidR="007B39ED" w:rsidRDefault="007B39ED" w:rsidP="00557396">
      <w:pPr>
        <w:pStyle w:val="0Maintext"/>
        <w:spacing w:after="120" w:afterAutospacing="0" w:line="240" w:lineRule="auto"/>
        <w:ind w:firstLine="0"/>
        <w:rPr>
          <w:lang w:val="en-US" w:eastAsia="zh-CN"/>
        </w:rPr>
      </w:pPr>
    </w:p>
    <w:p w:rsidR="008A18C8" w:rsidRDefault="008A18C8" w:rsidP="008A18C8">
      <w:pPr>
        <w:pStyle w:val="Heading2"/>
      </w:pPr>
      <w:r>
        <w:t>TDCP measurement behavior</w:t>
      </w:r>
    </w:p>
    <w:p w:rsidR="008A18C8" w:rsidRDefault="00DE1B8A" w:rsidP="00557396">
      <w:pPr>
        <w:pStyle w:val="0Maintext"/>
        <w:spacing w:after="120" w:afterAutospacing="0" w:line="240" w:lineRule="auto"/>
        <w:ind w:firstLine="0"/>
        <w:rPr>
          <w:lang w:val="en-US" w:eastAsia="zh-CN"/>
        </w:rPr>
      </w:pPr>
      <w:r>
        <w:rPr>
          <w:lang w:val="en-US" w:eastAsia="zh-CN"/>
        </w:rPr>
        <w:t>Usually, a UE should have more than one Rx ports. Then the UE can measure the TDCP from the more the one Rx ports. However, it is unnecessary for the UE to report the TDCP for each Rx ports, since such Rx ports should share similar time domain channel correlation property. Therefore, similar to other metric, e.g., L1-RSRP/L1-SINR, the reported TDCP should be measured based on the average TDCP across the Rx ports.</w:t>
      </w:r>
    </w:p>
    <w:p w:rsidR="00DE1B8A" w:rsidRPr="00DE1B8A" w:rsidRDefault="00DE1B8A" w:rsidP="00557396">
      <w:pPr>
        <w:pStyle w:val="0Maintext"/>
        <w:spacing w:after="120" w:afterAutospacing="0" w:line="240" w:lineRule="auto"/>
        <w:ind w:firstLine="0"/>
        <w:rPr>
          <w:b/>
          <w:bCs/>
          <w:i/>
          <w:iCs/>
          <w:lang w:val="en-US" w:eastAsia="zh-CN"/>
        </w:rPr>
      </w:pPr>
      <w:r w:rsidRPr="00DE1B8A">
        <w:rPr>
          <w:b/>
          <w:bCs/>
          <w:i/>
          <w:iCs/>
          <w:lang w:val="en-US" w:eastAsia="zh-CN"/>
        </w:rPr>
        <w:t>Proposal 13: The reported TDCP should be the average TDCP measured across the Rx ports.</w:t>
      </w:r>
    </w:p>
    <w:p w:rsidR="00DE1B8A" w:rsidRPr="00E84E4F" w:rsidRDefault="00DE1B8A" w:rsidP="00557396">
      <w:pPr>
        <w:pStyle w:val="0Maintext"/>
        <w:spacing w:after="120" w:afterAutospacing="0" w:line="240" w:lineRule="auto"/>
        <w:ind w:firstLine="0"/>
        <w:rPr>
          <w:lang w:val="en-US" w:eastAsia="zh-CN"/>
        </w:rPr>
      </w:pPr>
    </w:p>
    <w:p w:rsidR="00557396" w:rsidRDefault="00557396" w:rsidP="00557396">
      <w:pPr>
        <w:pStyle w:val="Heading1"/>
      </w:pPr>
      <w:r>
        <w:t>Conclusion</w:t>
      </w:r>
    </w:p>
    <w:p w:rsidR="00557396" w:rsidRDefault="00557396" w:rsidP="00557396">
      <w:pPr>
        <w:pStyle w:val="0Maintext"/>
        <w:spacing w:after="120" w:afterAutospacing="0" w:line="240" w:lineRule="auto"/>
        <w:ind w:firstLine="0"/>
        <w:rPr>
          <w:lang w:val="en-US" w:eastAsia="zh-CN"/>
        </w:rPr>
      </w:pPr>
      <w:r>
        <w:rPr>
          <w:lang w:val="en-US" w:eastAsia="zh-CN"/>
        </w:rPr>
        <w:t xml:space="preserve">In this contribution, we </w:t>
      </w:r>
      <w:r w:rsidR="00FE068C">
        <w:rPr>
          <w:lang w:val="en-US" w:eastAsia="zh-CN"/>
        </w:rPr>
        <w:t>provided discussion</w:t>
      </w:r>
      <w:r>
        <w:rPr>
          <w:lang w:val="en-US" w:eastAsia="zh-CN"/>
        </w:rPr>
        <w:t xml:space="preserve"> on </w:t>
      </w:r>
      <w:r w:rsidR="00D542B4">
        <w:rPr>
          <w:lang w:val="en-US" w:eastAsia="zh-CN"/>
        </w:rPr>
        <w:t>CSI enhancement</w:t>
      </w:r>
      <w:r>
        <w:rPr>
          <w:lang w:val="en-US" w:eastAsia="zh-CN"/>
        </w:rPr>
        <w:t>. Based on the discussion, the following proposals have been achieved.</w:t>
      </w:r>
    </w:p>
    <w:p w:rsidR="007B39ED" w:rsidRPr="007B39ED" w:rsidRDefault="007B39ED" w:rsidP="00557396">
      <w:pPr>
        <w:pStyle w:val="0Maintext"/>
        <w:spacing w:after="120" w:afterAutospacing="0" w:line="240" w:lineRule="auto"/>
        <w:ind w:firstLine="0"/>
        <w:rPr>
          <w:i/>
          <w:iCs/>
          <w:u w:val="single"/>
          <w:lang w:val="en-US" w:eastAsia="zh-CN"/>
        </w:rPr>
      </w:pPr>
      <w:r w:rsidRPr="007B39ED">
        <w:rPr>
          <w:i/>
          <w:iCs/>
          <w:u w:val="single"/>
          <w:lang w:val="en-US" w:eastAsia="zh-CN"/>
        </w:rPr>
        <w:t>CSI for CJT</w:t>
      </w:r>
    </w:p>
    <w:p w:rsidR="000851E7" w:rsidRPr="00953F61" w:rsidRDefault="000851E7" w:rsidP="000851E7">
      <w:pPr>
        <w:pStyle w:val="0Maintext"/>
        <w:spacing w:after="120" w:afterAutospacing="0" w:line="240" w:lineRule="auto"/>
        <w:ind w:firstLine="0"/>
        <w:rPr>
          <w:b/>
          <w:i/>
          <w:lang w:val="en-US" w:eastAsia="zh-CN"/>
        </w:rPr>
      </w:pPr>
      <w:r w:rsidRPr="00953F61">
        <w:rPr>
          <w:b/>
          <w:i/>
          <w:lang w:val="en-US" w:eastAsia="zh-CN"/>
        </w:rPr>
        <w:t xml:space="preserve">Proposal 1: </w:t>
      </w:r>
      <w:r>
        <w:rPr>
          <w:b/>
          <w:i/>
          <w:lang w:val="en-US" w:eastAsia="zh-CN"/>
        </w:rPr>
        <w:t>With regard to CSI measurement, the CSI-RS resources configured as CMR for CJT should be transmitted from the same RBs.</w:t>
      </w:r>
    </w:p>
    <w:p w:rsidR="000851E7" w:rsidRDefault="000851E7" w:rsidP="000851E7">
      <w:pPr>
        <w:pStyle w:val="0Maintext"/>
        <w:spacing w:after="120" w:afterAutospacing="0" w:line="240" w:lineRule="auto"/>
        <w:ind w:firstLine="0"/>
        <w:rPr>
          <w:b/>
          <w:i/>
          <w:lang w:val="en-US" w:eastAsia="zh-CN"/>
        </w:rPr>
      </w:pPr>
      <w:r w:rsidRPr="00953F61">
        <w:rPr>
          <w:b/>
          <w:i/>
          <w:lang w:val="en-US" w:eastAsia="zh-CN"/>
        </w:rPr>
        <w:t>Pr</w:t>
      </w:r>
      <w:r>
        <w:rPr>
          <w:b/>
          <w:i/>
          <w:lang w:val="en-US" w:eastAsia="zh-CN"/>
        </w:rPr>
        <w:t>oposal 2: With regard to AGC impact, the CSI-RS resources configured as CMR for CJT should be transmitted within a slot.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3: For FR1, support to configure up to 1 CSI-IM associated with the CMR for CJT.</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4: For FR2, support to configure up to K CSI-IMs associated with the CMR for CJT, where each CSI-IM is associated with each CSI-RS configured as CMR.</w:t>
      </w:r>
    </w:p>
    <w:p w:rsidR="007B39ED" w:rsidRPr="00CB05AA" w:rsidRDefault="007B39ED">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CSI-IM with the same beam</w:t>
      </w:r>
    </w:p>
    <w:p w:rsidR="007B39ED" w:rsidRPr="00CB05AA" w:rsidRDefault="007B39ED" w:rsidP="007B39ED">
      <w:pPr>
        <w:pStyle w:val="0Maintext"/>
        <w:spacing w:after="120" w:afterAutospacing="0" w:line="240" w:lineRule="auto"/>
        <w:ind w:firstLine="0"/>
        <w:rPr>
          <w:b/>
          <w:i/>
          <w:lang w:val="en-US" w:eastAsia="zh-CN"/>
        </w:rPr>
      </w:pPr>
      <w:r w:rsidRPr="00CB05AA">
        <w:rPr>
          <w:b/>
          <w:i/>
          <w:lang w:val="en-US" w:eastAsia="zh-CN"/>
        </w:rPr>
        <w:t>Proposal 5: Support to configure up to K NZP-IMR associated with the CMR for CJT, where each NZP-IMR is associated with each CSI-RS configured as CMR.</w:t>
      </w:r>
    </w:p>
    <w:p w:rsidR="007B39ED" w:rsidRPr="007B39ED" w:rsidRDefault="007B39ED">
      <w:pPr>
        <w:pStyle w:val="0Maintext"/>
        <w:numPr>
          <w:ilvl w:val="0"/>
          <w:numId w:val="7"/>
        </w:numPr>
        <w:spacing w:after="120" w:afterAutospacing="0" w:line="240" w:lineRule="auto"/>
        <w:rPr>
          <w:b/>
          <w:i/>
          <w:lang w:val="en-US" w:eastAsia="zh-CN"/>
        </w:rPr>
      </w:pPr>
      <w:r w:rsidRPr="00CB05AA">
        <w:rPr>
          <w:b/>
          <w:i/>
          <w:lang w:val="en-US" w:eastAsia="zh-CN"/>
        </w:rPr>
        <w:t>The UE shall receive the CSI-RS and associated NZP-IMR with the same beam</w:t>
      </w:r>
    </w:p>
    <w:p w:rsidR="007B39ED" w:rsidRPr="002D719B" w:rsidRDefault="007B39ED" w:rsidP="007B39ED">
      <w:pPr>
        <w:pStyle w:val="0Maintext"/>
        <w:spacing w:after="120" w:afterAutospacing="0" w:line="240" w:lineRule="auto"/>
        <w:ind w:firstLine="0"/>
        <w:rPr>
          <w:b/>
          <w:i/>
          <w:lang w:val="en-US" w:eastAsia="zh-CN"/>
        </w:rPr>
      </w:pPr>
      <w:r w:rsidRPr="002D719B">
        <w:rPr>
          <w:b/>
          <w:i/>
          <w:lang w:val="en-US" w:eastAsia="zh-CN"/>
        </w:rPr>
        <w:t xml:space="preserve">Proposal </w:t>
      </w:r>
      <w:r w:rsidR="000851E7">
        <w:rPr>
          <w:b/>
          <w:i/>
          <w:lang w:val="en-US" w:eastAsia="zh-CN"/>
        </w:rPr>
        <w:t>6</w:t>
      </w:r>
      <w:r w:rsidRPr="002D719B">
        <w:rPr>
          <w:b/>
          <w:i/>
          <w:lang w:val="en-US" w:eastAsia="zh-CN"/>
        </w:rPr>
        <w:t>: For CQI measurement for CJT, the EPRE ratio (Pc) should be defined as the EPRE ratio between CSI-RS and PDSCH from the same TRP.</w:t>
      </w:r>
    </w:p>
    <w:p w:rsidR="007B39ED" w:rsidRDefault="007B39ED" w:rsidP="007B39ED">
      <w:pPr>
        <w:pStyle w:val="0Maintext"/>
        <w:spacing w:after="120" w:afterAutospacing="0" w:line="240" w:lineRule="auto"/>
        <w:ind w:firstLine="0"/>
        <w:rPr>
          <w:i/>
          <w:iCs/>
          <w:u w:val="single"/>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sidRPr="007B39ED">
        <w:rPr>
          <w:i/>
          <w:iCs/>
          <w:u w:val="single"/>
          <w:lang w:val="en-US" w:eastAsia="zh-CN"/>
        </w:rPr>
        <w:t xml:space="preserve">CSI for </w:t>
      </w:r>
      <w:r>
        <w:rPr>
          <w:i/>
          <w:iCs/>
          <w:u w:val="single"/>
          <w:lang w:val="en-US" w:eastAsia="zh-CN"/>
        </w:rPr>
        <w:t>high/medium UE velocities</w:t>
      </w:r>
    </w:p>
    <w:p w:rsidR="000851E7" w:rsidRDefault="000851E7" w:rsidP="000851E7">
      <w:pPr>
        <w:pStyle w:val="0Maintext"/>
        <w:spacing w:after="120" w:afterAutospacing="0" w:line="240" w:lineRule="auto"/>
        <w:ind w:firstLine="0"/>
        <w:rPr>
          <w:b/>
          <w:bCs/>
          <w:i/>
          <w:iCs/>
          <w:lang w:val="en-US" w:eastAsia="zh-CN"/>
        </w:rPr>
      </w:pPr>
      <w:r w:rsidRPr="006C266D">
        <w:rPr>
          <w:b/>
          <w:bCs/>
          <w:i/>
          <w:iCs/>
          <w:lang w:val="en-US" w:eastAsia="zh-CN"/>
        </w:rPr>
        <w:t xml:space="preserve">Proposal 7: Support to introduce an RRC parameter in a CSI-RS resource set to indicate the CSI-RS resources in the CSI-RS resource set are used for CSI measurement for high/medium velocities, where the UE assumes that CSI-RS resources should be from the same antenna ports. </w:t>
      </w:r>
    </w:p>
    <w:p w:rsidR="0023766E" w:rsidRDefault="0023766E" w:rsidP="0023766E">
      <w:pPr>
        <w:pStyle w:val="0Maintext"/>
        <w:spacing w:after="120" w:afterAutospacing="0" w:line="240" w:lineRule="auto"/>
        <w:ind w:firstLine="0"/>
        <w:rPr>
          <w:b/>
          <w:i/>
          <w:lang w:val="en-US" w:eastAsia="zh-CN"/>
        </w:rPr>
      </w:pPr>
      <w:r w:rsidRPr="0015468B">
        <w:rPr>
          <w:b/>
          <w:i/>
          <w:lang w:val="en-US" w:eastAsia="zh-CN"/>
        </w:rPr>
        <w:t xml:space="preserve">Proposal </w:t>
      </w:r>
      <w:r>
        <w:rPr>
          <w:b/>
          <w:i/>
          <w:lang w:val="en-US" w:eastAsia="zh-CN"/>
        </w:rPr>
        <w:t>8</w:t>
      </w:r>
      <w:r w:rsidRPr="0015468B">
        <w:rPr>
          <w:b/>
          <w:i/>
          <w:lang w:val="en-US" w:eastAsia="zh-CN"/>
        </w:rPr>
        <w:t xml:space="preserve">: </w:t>
      </w:r>
      <w:r>
        <w:rPr>
          <w:b/>
          <w:i/>
          <w:lang w:val="en-US" w:eastAsia="zh-CN"/>
        </w:rPr>
        <w:t>For CQI report for high/medium velocities, support Alt 2A that the CQI is associated with the first slot of the CSI reporting window.</w:t>
      </w:r>
    </w:p>
    <w:p w:rsidR="00D75F57" w:rsidRPr="007B39ED" w:rsidRDefault="00D75F57" w:rsidP="00557396">
      <w:pPr>
        <w:pStyle w:val="0Maintext"/>
        <w:spacing w:after="120" w:afterAutospacing="0" w:line="240" w:lineRule="auto"/>
        <w:ind w:firstLine="0"/>
        <w:rPr>
          <w:lang w:val="en-US" w:eastAsia="zh-CN"/>
        </w:rPr>
      </w:pPr>
    </w:p>
    <w:p w:rsidR="007B39ED" w:rsidRPr="007B39ED" w:rsidRDefault="007B39ED" w:rsidP="007B39ED">
      <w:pPr>
        <w:pStyle w:val="0Maintext"/>
        <w:spacing w:after="120" w:afterAutospacing="0" w:line="240" w:lineRule="auto"/>
        <w:ind w:firstLine="0"/>
        <w:rPr>
          <w:i/>
          <w:iCs/>
          <w:u w:val="single"/>
          <w:lang w:val="en-US" w:eastAsia="zh-CN"/>
        </w:rPr>
      </w:pPr>
      <w:r>
        <w:rPr>
          <w:i/>
          <w:iCs/>
          <w:u w:val="single"/>
          <w:lang w:val="en-US" w:eastAsia="zh-CN"/>
        </w:rPr>
        <w:t>TDCP report</w:t>
      </w:r>
    </w:p>
    <w:p w:rsidR="007B39ED" w:rsidRDefault="007B39ED" w:rsidP="007B39ED">
      <w:pPr>
        <w:pStyle w:val="0Maintext"/>
        <w:spacing w:after="120" w:afterAutospacing="0" w:line="240" w:lineRule="auto"/>
        <w:ind w:firstLine="0"/>
        <w:rPr>
          <w:rFonts w:cs="Times New Roman"/>
          <w:b/>
          <w:i/>
          <w:lang w:val="en-US" w:eastAsia="zh-CN"/>
        </w:rPr>
      </w:pPr>
      <w:r w:rsidRPr="00CB1727">
        <w:rPr>
          <w:rFonts w:cs="Times New Roman"/>
          <w:b/>
          <w:i/>
          <w:lang w:val="en-US" w:eastAsia="zh-CN"/>
        </w:rPr>
        <w:t xml:space="preserve">Proposal </w:t>
      </w:r>
      <w:r w:rsidR="000851E7">
        <w:rPr>
          <w:rFonts w:cs="Times New Roman"/>
          <w:b/>
          <w:i/>
          <w:lang w:val="en-US" w:eastAsia="zh-CN"/>
        </w:rPr>
        <w:t>9</w:t>
      </w:r>
      <w:r w:rsidRPr="00CB1727">
        <w:rPr>
          <w:rFonts w:cs="Times New Roman"/>
          <w:b/>
          <w:i/>
          <w:lang w:val="en-US" w:eastAsia="zh-CN"/>
        </w:rPr>
        <w:t xml:space="preserve">: </w:t>
      </w:r>
      <w:r>
        <w:rPr>
          <w:rFonts w:cs="Times New Roman"/>
          <w:b/>
          <w:i/>
          <w:lang w:val="en-US" w:eastAsia="zh-CN"/>
        </w:rPr>
        <w:t>With regard to different TRS precoding schemes, support the following options for CMR configuration for TDCP report:</w:t>
      </w:r>
    </w:p>
    <w:p w:rsidR="007B39ED" w:rsidRPr="00C567A9" w:rsidRDefault="007B39ED">
      <w:pPr>
        <w:pStyle w:val="0Maintext"/>
        <w:numPr>
          <w:ilvl w:val="0"/>
          <w:numId w:val="5"/>
        </w:numPr>
        <w:spacing w:after="120" w:afterAutospacing="0" w:line="240" w:lineRule="auto"/>
        <w:rPr>
          <w:b/>
          <w:i/>
          <w:lang w:val="en-US" w:eastAsia="zh-CN"/>
        </w:rPr>
      </w:pPr>
      <w:r w:rsidRPr="00C567A9">
        <w:rPr>
          <w:b/>
          <w:i/>
          <w:lang w:val="en-US" w:eastAsia="zh-CN"/>
        </w:rPr>
        <w:t>Option 1: Configure N TRSs as CMRs, where N is equal to the maximum rank from the configured rank restriction</w:t>
      </w:r>
    </w:p>
    <w:p w:rsidR="007B39ED" w:rsidRPr="007B39ED" w:rsidRDefault="007B39ED">
      <w:pPr>
        <w:pStyle w:val="0Maintext"/>
        <w:numPr>
          <w:ilvl w:val="0"/>
          <w:numId w:val="5"/>
        </w:numPr>
        <w:spacing w:after="120" w:afterAutospacing="0" w:line="240" w:lineRule="auto"/>
        <w:rPr>
          <w:b/>
          <w:i/>
          <w:lang w:val="en-US" w:eastAsia="zh-CN"/>
        </w:rPr>
      </w:pPr>
      <w:r w:rsidRPr="00C567A9">
        <w:rPr>
          <w:b/>
          <w:i/>
          <w:lang w:val="en-US" w:eastAsia="zh-CN"/>
        </w:rPr>
        <w:lastRenderedPageBreak/>
        <w:t>Option 2: Do not configure any CMR, and the TRS(s) configured in active TCI state(s) are used for TDCP measurement and report</w:t>
      </w:r>
    </w:p>
    <w:p w:rsidR="007B39ED" w:rsidRDefault="007B39ED" w:rsidP="007B39ED">
      <w:pPr>
        <w:pStyle w:val="0Maintext"/>
        <w:spacing w:after="120" w:afterAutospacing="0" w:line="240" w:lineRule="auto"/>
        <w:ind w:firstLine="0"/>
        <w:rPr>
          <w:rFonts w:cs="Times New Roman"/>
          <w:b/>
          <w:i/>
          <w:lang w:val="en-US" w:eastAsia="zh-CN"/>
        </w:rPr>
      </w:pPr>
      <w:r>
        <w:rPr>
          <w:rFonts w:cs="Times New Roman"/>
          <w:b/>
          <w:i/>
          <w:lang w:val="en-US" w:eastAsia="zh-CN"/>
        </w:rPr>
        <w:t>Proposal 1</w:t>
      </w:r>
      <w:r w:rsidR="000851E7">
        <w:rPr>
          <w:rFonts w:cs="Times New Roman"/>
          <w:b/>
          <w:i/>
          <w:lang w:val="en-US" w:eastAsia="zh-CN"/>
        </w:rPr>
        <w:t>0</w:t>
      </w:r>
      <w:r>
        <w:rPr>
          <w:rFonts w:cs="Times New Roman"/>
          <w:b/>
          <w:i/>
          <w:lang w:val="en-US" w:eastAsia="zh-CN"/>
        </w:rPr>
        <w:t>: The TRS configured for TDCP measurement should be based on 2-slot structure.</w:t>
      </w:r>
    </w:p>
    <w:p w:rsidR="000851E7" w:rsidRPr="009C1B6C" w:rsidRDefault="000851E7" w:rsidP="000851E7">
      <w:pPr>
        <w:pStyle w:val="0Maintext"/>
        <w:spacing w:after="120" w:afterAutospacing="0" w:line="240" w:lineRule="auto"/>
        <w:ind w:firstLine="0"/>
        <w:rPr>
          <w:b/>
          <w:i/>
          <w:lang w:val="en-US" w:eastAsia="zh-CN"/>
        </w:rPr>
      </w:pPr>
      <w:r>
        <w:rPr>
          <w:b/>
          <w:i/>
          <w:lang w:val="en-US" w:eastAsia="zh-CN"/>
        </w:rPr>
        <w:t>Proposal 11</w:t>
      </w:r>
      <w:r w:rsidRPr="009C1B6C">
        <w:rPr>
          <w:b/>
          <w:i/>
          <w:lang w:val="en-US" w:eastAsia="zh-CN"/>
        </w:rPr>
        <w:t xml:space="preserve">: </w:t>
      </w:r>
      <w:r>
        <w:rPr>
          <w:b/>
          <w:i/>
          <w:lang w:val="en-US" w:eastAsia="zh-CN"/>
        </w:rPr>
        <w:t>Support Doppler profile based TDCP report (Alt A).</w:t>
      </w:r>
    </w:p>
    <w:p w:rsidR="000851E7" w:rsidRDefault="000851E7" w:rsidP="000851E7">
      <w:pPr>
        <w:pStyle w:val="0Maintext"/>
        <w:spacing w:after="120" w:afterAutospacing="0" w:line="240" w:lineRule="auto"/>
        <w:ind w:firstLine="0"/>
        <w:rPr>
          <w:b/>
          <w:i/>
          <w:lang w:val="en-US" w:eastAsia="zh-CN"/>
        </w:rPr>
      </w:pPr>
      <w:r>
        <w:rPr>
          <w:b/>
          <w:i/>
          <w:lang w:val="en-US" w:eastAsia="zh-CN"/>
        </w:rPr>
        <w:t>Proposal 12</w:t>
      </w:r>
      <w:r w:rsidRPr="00714074">
        <w:rPr>
          <w:b/>
          <w:i/>
          <w:lang w:val="en-US" w:eastAsia="zh-CN"/>
        </w:rPr>
        <w:t>: The priority for TDCP report should be lower than CSI report and beam report, when CSI report collision happens.</w:t>
      </w:r>
    </w:p>
    <w:p w:rsidR="00DE1B8A" w:rsidRPr="00DE1B8A" w:rsidRDefault="00DE1B8A" w:rsidP="00DE1B8A">
      <w:pPr>
        <w:pStyle w:val="0Maintext"/>
        <w:spacing w:after="120" w:afterAutospacing="0" w:line="240" w:lineRule="auto"/>
        <w:ind w:firstLine="0"/>
        <w:rPr>
          <w:b/>
          <w:bCs/>
          <w:i/>
          <w:iCs/>
          <w:lang w:val="en-US" w:eastAsia="zh-CN"/>
        </w:rPr>
      </w:pPr>
      <w:r w:rsidRPr="00DE1B8A">
        <w:rPr>
          <w:b/>
          <w:bCs/>
          <w:i/>
          <w:iCs/>
          <w:lang w:val="en-US" w:eastAsia="zh-CN"/>
        </w:rPr>
        <w:t>Proposal 13: The reported TDCP should be the average TDCP measured across the Rx ports.</w:t>
      </w:r>
    </w:p>
    <w:p w:rsidR="00DE1B8A" w:rsidRPr="00714074" w:rsidRDefault="00DE1B8A" w:rsidP="000851E7">
      <w:pPr>
        <w:pStyle w:val="0Maintext"/>
        <w:spacing w:after="120" w:afterAutospacing="0" w:line="240" w:lineRule="auto"/>
        <w:ind w:firstLine="0"/>
        <w:rPr>
          <w:b/>
          <w:i/>
          <w:lang w:val="en-US" w:eastAsia="zh-CN"/>
        </w:rPr>
      </w:pPr>
    </w:p>
    <w:p w:rsidR="00570281" w:rsidRDefault="00570281" w:rsidP="007B39ED">
      <w:pPr>
        <w:pStyle w:val="0Maintext"/>
        <w:spacing w:after="120" w:afterAutospacing="0" w:line="240" w:lineRule="auto"/>
        <w:ind w:firstLine="0"/>
        <w:rPr>
          <w:b/>
          <w:bCs/>
          <w:i/>
          <w:iCs/>
          <w:lang w:val="en-US" w:eastAsia="zh-CN"/>
        </w:rPr>
      </w:pPr>
    </w:p>
    <w:p w:rsidR="00570281" w:rsidRDefault="00570281" w:rsidP="00570281">
      <w:pPr>
        <w:pStyle w:val="Heading1"/>
      </w:pPr>
      <w:r>
        <w:t>Appendix</w:t>
      </w:r>
    </w:p>
    <w:p w:rsidR="00570281" w:rsidRPr="00570281" w:rsidRDefault="00570281" w:rsidP="00184BD0">
      <w:pPr>
        <w:pStyle w:val="0Maintext"/>
        <w:spacing w:after="120" w:afterAutospacing="0" w:line="240" w:lineRule="auto"/>
        <w:ind w:firstLine="0"/>
        <w:jc w:val="center"/>
        <w:rPr>
          <w:b/>
          <w:bCs/>
          <w:lang w:val="en-US" w:eastAsia="zh-CN"/>
        </w:rPr>
      </w:pPr>
      <w:r w:rsidRPr="00570281">
        <w:rPr>
          <w:b/>
          <w:bCs/>
          <w:lang w:val="en-US" w:eastAsia="zh-CN"/>
        </w:rPr>
        <w:t>Table A-1: Simulation assumption for TDCP report</w:t>
      </w:r>
    </w:p>
    <w:tbl>
      <w:tblPr>
        <w:tblStyle w:val="GridTable4-Accent2"/>
        <w:tblW w:w="9010" w:type="dxa"/>
        <w:tblLook w:val="04A0" w:firstRow="1" w:lastRow="0" w:firstColumn="1" w:lastColumn="0" w:noHBand="0" w:noVBand="1"/>
      </w:tblPr>
      <w:tblGrid>
        <w:gridCol w:w="3964"/>
        <w:gridCol w:w="5046"/>
      </w:tblGrid>
      <w:tr w:rsidR="00570281" w:rsidRPr="00CA6648" w:rsidTr="00184BD0">
        <w:trPr>
          <w:cnfStyle w:val="100000000000" w:firstRow="1" w:lastRow="0" w:firstColumn="0" w:lastColumn="0" w:oddVBand="0" w:evenVBand="0" w:oddHBand="0"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Parameter</w:t>
            </w:r>
          </w:p>
        </w:tc>
        <w:tc>
          <w:tcPr>
            <w:tcW w:w="5046" w:type="dxa"/>
            <w:hideMark/>
          </w:tcPr>
          <w:p w:rsidR="00570281" w:rsidRPr="00CA6648" w:rsidRDefault="00570281" w:rsidP="00BA79F2">
            <w:pPr>
              <w:snapToGrid w:val="0"/>
              <w:cnfStyle w:val="100000000000" w:firstRow="1" w:lastRow="0" w:firstColumn="0" w:lastColumn="0" w:oddVBand="0" w:evenVBand="0" w:oddHBand="0" w:evenHBand="0" w:firstRowFirstColumn="0" w:firstRowLastColumn="0" w:lastRowFirstColumn="0" w:lastRowLastColumn="0"/>
              <w:rPr>
                <w:sz w:val="20"/>
                <w:szCs w:val="20"/>
              </w:rPr>
            </w:pPr>
            <w:r w:rsidRPr="00CA6648">
              <w:rPr>
                <w:sz w:val="20"/>
                <w:szCs w:val="20"/>
              </w:rPr>
              <w:t>Value</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rPr>
            </w:pPr>
            <w:r w:rsidRPr="00CA6648">
              <w:rPr>
                <w:sz w:val="20"/>
                <w:szCs w:val="20"/>
              </w:rPr>
              <w:t xml:space="preserve">Carrier frequency and subcarrier spacing </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3.5 GHz with 30 kHz SCS</w:t>
            </w:r>
          </w:p>
        </w:tc>
      </w:tr>
      <w:tr w:rsidR="00570281" w:rsidRPr="00CA6648" w:rsidTr="00184BD0">
        <w:trPr>
          <w:trHeight w:val="2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b w:val="0"/>
                <w:bCs w:val="0"/>
                <w:sz w:val="20"/>
                <w:szCs w:val="20"/>
              </w:rPr>
            </w:pPr>
            <w:r w:rsidRPr="00CA6648">
              <w:rPr>
                <w:sz w:val="20"/>
                <w:szCs w:val="20"/>
              </w:rPr>
              <w:t>System bandwidth</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20MHz</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TRS bandwidth</w:t>
            </w:r>
          </w:p>
        </w:tc>
        <w:tc>
          <w:tcPr>
            <w:tcW w:w="5046" w:type="dxa"/>
            <w:hideMark/>
          </w:tcPr>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20MHz</w:t>
            </w: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Channel model</w:t>
            </w:r>
          </w:p>
        </w:tc>
        <w:tc>
          <w:tcPr>
            <w:tcW w:w="5046" w:type="dxa"/>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rPr>
              <w:t xml:space="preserve">CDL-A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 xml:space="preserve">Delay spread </w:t>
            </w:r>
          </w:p>
        </w:tc>
        <w:tc>
          <w:tcPr>
            <w:tcW w:w="5046" w:type="dxa"/>
            <w:hideMark/>
          </w:tcPr>
          <w:p w:rsidR="00570281" w:rsidRPr="00EB3E72"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100ns</w:t>
            </w:r>
          </w:p>
        </w:tc>
      </w:tr>
      <w:tr w:rsidR="00570281" w:rsidRPr="00CA6648" w:rsidTr="00184BD0">
        <w:trPr>
          <w:trHeight w:val="82"/>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UE velocity</w:t>
            </w:r>
          </w:p>
        </w:tc>
        <w:tc>
          <w:tcPr>
            <w:tcW w:w="5046" w:type="dxa"/>
            <w:hideMark/>
          </w:tcPr>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lang w:val="sv-SE"/>
              </w:rPr>
            </w:pPr>
            <w:r w:rsidRPr="00CA6648">
              <w:rPr>
                <w:sz w:val="20"/>
                <w:szCs w:val="20"/>
                <w:lang w:val="sv-SE"/>
              </w:rPr>
              <w:t>3km/h, 10km/h, 20km/h, 30km/h, 60km/h, 120km/h</w:t>
            </w: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Antennas at UE</w:t>
            </w:r>
          </w:p>
        </w:tc>
        <w:tc>
          <w:tcPr>
            <w:tcW w:w="5046" w:type="dxa"/>
            <w:hideMark/>
          </w:tcPr>
          <w:p w:rsidR="00570281" w:rsidRPr="00CA6648" w:rsidRDefault="00570281" w:rsidP="00570281">
            <w:pPr>
              <w:snapToGrid w:val="0"/>
              <w:cnfStyle w:val="000000100000" w:firstRow="0" w:lastRow="0" w:firstColumn="0" w:lastColumn="0" w:oddVBand="0" w:evenVBand="0" w:oddHBand="1" w:evenHBand="0" w:firstRowFirstColumn="0" w:firstRowLastColumn="0" w:lastRowFirstColumn="0" w:lastRowLastColumn="0"/>
              <w:rPr>
                <w:sz w:val="20"/>
                <w:szCs w:val="20"/>
              </w:rPr>
            </w:pPr>
            <w:r w:rsidRPr="00CA6648">
              <w:rPr>
                <w:sz w:val="20"/>
                <w:szCs w:val="20"/>
              </w:rPr>
              <w:t xml:space="preserve">4RX: (1,2,2,1,1,1,2), (dH,dV) = (0.5, 0.5)λ </w:t>
            </w:r>
          </w:p>
          <w:p w:rsidR="00570281" w:rsidRPr="00CA6648" w:rsidRDefault="00570281"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p>
        </w:tc>
      </w:tr>
      <w:tr w:rsidR="00570281" w:rsidRPr="00CA6648" w:rsidTr="00184BD0">
        <w:trPr>
          <w:trHeight w:val="367"/>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570281" w:rsidP="00BA79F2">
            <w:pPr>
              <w:snapToGrid w:val="0"/>
              <w:rPr>
                <w:sz w:val="20"/>
                <w:szCs w:val="20"/>
                <w:lang w:val="sv-SE"/>
              </w:rPr>
            </w:pPr>
            <w:r w:rsidRPr="00CA6648">
              <w:rPr>
                <w:sz w:val="20"/>
                <w:szCs w:val="20"/>
                <w:lang w:val="sv-SE"/>
              </w:rPr>
              <w:t>Antennas at gNB</w:t>
            </w:r>
          </w:p>
        </w:tc>
        <w:tc>
          <w:tcPr>
            <w:tcW w:w="5046" w:type="dxa"/>
            <w:hideMark/>
          </w:tcPr>
          <w:p w:rsidR="00570281" w:rsidRPr="00CA6648" w:rsidRDefault="00570281" w:rsidP="00570281">
            <w:pPr>
              <w:snapToGrid w:val="0"/>
              <w:cnfStyle w:val="000000000000" w:firstRow="0" w:lastRow="0" w:firstColumn="0" w:lastColumn="0" w:oddVBand="0" w:evenVBand="0" w:oddHBand="0" w:evenHBand="0" w:firstRowFirstColumn="0" w:firstRowLastColumn="0" w:lastRowFirstColumn="0" w:lastRowLastColumn="0"/>
              <w:rPr>
                <w:sz w:val="20"/>
                <w:szCs w:val="20"/>
              </w:rPr>
            </w:pPr>
            <w:r w:rsidRPr="00CA6648">
              <w:rPr>
                <w:sz w:val="20"/>
                <w:szCs w:val="20"/>
                <w:lang w:val="sv-SE"/>
              </w:rPr>
              <w:t>32 ports: (</w:t>
            </w:r>
            <w:r>
              <w:rPr>
                <w:sz w:val="20"/>
                <w:szCs w:val="20"/>
                <w:lang w:val="sv-SE"/>
              </w:rPr>
              <w:t>4</w:t>
            </w:r>
            <w:r w:rsidRPr="00CA6648">
              <w:rPr>
                <w:sz w:val="20"/>
                <w:szCs w:val="20"/>
                <w:lang w:val="sv-SE"/>
              </w:rPr>
              <w:t>,</w:t>
            </w:r>
            <w:r>
              <w:rPr>
                <w:sz w:val="20"/>
                <w:szCs w:val="20"/>
                <w:lang w:val="sv-SE"/>
              </w:rPr>
              <w:t>4</w:t>
            </w:r>
            <w:r w:rsidRPr="00CA6648">
              <w:rPr>
                <w:sz w:val="20"/>
                <w:szCs w:val="20"/>
                <w:lang w:val="sv-SE"/>
              </w:rPr>
              <w:t>,2,1,1,</w:t>
            </w:r>
            <w:r>
              <w:rPr>
                <w:sz w:val="20"/>
                <w:szCs w:val="20"/>
                <w:lang w:val="sv-SE"/>
              </w:rPr>
              <w:t>4</w:t>
            </w:r>
            <w:r w:rsidRPr="00CA6648">
              <w:rPr>
                <w:sz w:val="20"/>
                <w:szCs w:val="20"/>
                <w:lang w:val="sv-SE"/>
              </w:rPr>
              <w:t>,</w:t>
            </w:r>
            <w:r>
              <w:rPr>
                <w:sz w:val="20"/>
                <w:szCs w:val="20"/>
                <w:lang w:val="sv-SE"/>
              </w:rPr>
              <w:t>4</w:t>
            </w:r>
            <w:r w:rsidRPr="00CA6648">
              <w:rPr>
                <w:sz w:val="20"/>
                <w:szCs w:val="20"/>
                <w:lang w:val="sv-SE"/>
              </w:rPr>
              <w:t>), (dH,dV) = (0.5, 0.8)</w:t>
            </w:r>
            <w:r w:rsidRPr="00CA6648">
              <w:rPr>
                <w:sz w:val="20"/>
                <w:szCs w:val="20"/>
              </w:rPr>
              <w:t xml:space="preserve">λ </w:t>
            </w:r>
          </w:p>
          <w:p w:rsidR="00570281" w:rsidRPr="00CA6648" w:rsidRDefault="00570281"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p>
        </w:tc>
      </w:tr>
      <w:tr w:rsidR="00570281"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hideMark/>
          </w:tcPr>
          <w:p w:rsidR="00570281" w:rsidRPr="00CA6648" w:rsidRDefault="00184BD0" w:rsidP="00BA79F2">
            <w:pPr>
              <w:snapToGrid w:val="0"/>
              <w:rPr>
                <w:sz w:val="20"/>
                <w:szCs w:val="20"/>
                <w:lang w:val="sv-SE"/>
              </w:rPr>
            </w:pPr>
            <w:r>
              <w:rPr>
                <w:sz w:val="20"/>
                <w:szCs w:val="20"/>
                <w:lang w:val="sv-SE"/>
              </w:rPr>
              <w:t>Number of snapshots per UE velocity</w:t>
            </w:r>
          </w:p>
        </w:tc>
        <w:tc>
          <w:tcPr>
            <w:tcW w:w="5046" w:type="dxa"/>
            <w:hideMark/>
          </w:tcPr>
          <w:p w:rsidR="00570281" w:rsidRPr="00CA6648" w:rsidRDefault="00184BD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1000</w:t>
            </w:r>
          </w:p>
        </w:tc>
      </w:tr>
      <w:tr w:rsidR="003210C6"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3210C6" w:rsidRDefault="003210C6" w:rsidP="00BA79F2">
            <w:pPr>
              <w:snapToGrid w:val="0"/>
              <w:rPr>
                <w:sz w:val="20"/>
                <w:szCs w:val="20"/>
                <w:lang w:val="sv-SE"/>
              </w:rPr>
            </w:pPr>
            <w:r>
              <w:rPr>
                <w:sz w:val="20"/>
                <w:szCs w:val="20"/>
                <w:lang w:val="sv-SE"/>
              </w:rPr>
              <w:t>UE moving direction</w:t>
            </w:r>
          </w:p>
        </w:tc>
        <w:tc>
          <w:tcPr>
            <w:tcW w:w="5046" w:type="dxa"/>
          </w:tcPr>
          <w:p w:rsidR="003210C6" w:rsidRDefault="003210C6"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Random horizontal moving </w:t>
            </w:r>
          </w:p>
        </w:tc>
      </w:tr>
      <w:tr w:rsidR="00D63050"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D63050" w:rsidRDefault="00D63050" w:rsidP="00BA79F2">
            <w:pPr>
              <w:snapToGrid w:val="0"/>
              <w:rPr>
                <w:sz w:val="20"/>
                <w:szCs w:val="20"/>
                <w:lang w:val="sv-SE"/>
              </w:rPr>
            </w:pPr>
            <w:r>
              <w:rPr>
                <w:sz w:val="20"/>
                <w:szCs w:val="20"/>
                <w:lang w:val="sv-SE"/>
              </w:rPr>
              <w:t>TRS periodicity</w:t>
            </w:r>
          </w:p>
        </w:tc>
        <w:tc>
          <w:tcPr>
            <w:tcW w:w="5046" w:type="dxa"/>
          </w:tcPr>
          <w:p w:rsidR="00D63050" w:rsidRDefault="00D63050"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20ms</w:t>
            </w:r>
          </w:p>
        </w:tc>
      </w:tr>
      <w:tr w:rsidR="00A17DD2" w:rsidRPr="00CA6648" w:rsidTr="00184BD0">
        <w:trPr>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r>
              <w:rPr>
                <w:sz w:val="20"/>
                <w:szCs w:val="20"/>
                <w:lang w:val="sv-SE"/>
              </w:rPr>
              <w:t>TRS structure</w:t>
            </w:r>
          </w:p>
        </w:tc>
        <w:tc>
          <w:tcPr>
            <w:tcW w:w="5046" w:type="dxa"/>
          </w:tcPr>
          <w:p w:rsidR="00A17DD2" w:rsidRDefault="00A17DD2" w:rsidP="00BA79F2">
            <w:pPr>
              <w:snapToGrid w:val="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 slots TRS</w:t>
            </w:r>
          </w:p>
        </w:tc>
      </w:tr>
      <w:tr w:rsidR="00A17DD2" w:rsidRPr="00CA6648" w:rsidTr="00184BD0">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3964" w:type="dxa"/>
          </w:tcPr>
          <w:p w:rsidR="00A17DD2" w:rsidRDefault="00A17DD2" w:rsidP="00BA79F2">
            <w:pPr>
              <w:snapToGrid w:val="0"/>
              <w:rPr>
                <w:sz w:val="20"/>
                <w:szCs w:val="20"/>
                <w:lang w:val="sv-SE"/>
              </w:rPr>
            </w:pPr>
            <w:r>
              <w:rPr>
                <w:sz w:val="20"/>
                <w:szCs w:val="20"/>
                <w:lang w:val="sv-SE"/>
              </w:rPr>
              <w:t>Number of TRS bursts for channel correlation and Doppler shift calculation</w:t>
            </w:r>
          </w:p>
        </w:tc>
        <w:tc>
          <w:tcPr>
            <w:tcW w:w="5046" w:type="dxa"/>
          </w:tcPr>
          <w:p w:rsidR="00A17DD2" w:rsidRDefault="00A17DD2" w:rsidP="00BA79F2">
            <w:pPr>
              <w:snapToGrid w:val="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10</w:t>
            </w:r>
          </w:p>
        </w:tc>
      </w:tr>
    </w:tbl>
    <w:p w:rsidR="00570281" w:rsidRPr="00570281" w:rsidRDefault="00570281" w:rsidP="007B39ED">
      <w:pPr>
        <w:pStyle w:val="0Maintext"/>
        <w:spacing w:after="120" w:afterAutospacing="0" w:line="240" w:lineRule="auto"/>
        <w:ind w:firstLine="0"/>
        <w:rPr>
          <w:lang w:val="en-US" w:eastAsia="zh-CN"/>
        </w:rPr>
      </w:pPr>
    </w:p>
    <w:sectPr w:rsidR="00570281" w:rsidRPr="00570281" w:rsidSect="00557396">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738169C"/>
    <w:multiLevelType w:val="hybridMultilevel"/>
    <w:tmpl w:val="04DA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5C675F"/>
    <w:multiLevelType w:val="hybridMultilevel"/>
    <w:tmpl w:val="EDD21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E31291"/>
    <w:multiLevelType w:val="hybridMultilevel"/>
    <w:tmpl w:val="CC30F7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D6133"/>
    <w:multiLevelType w:val="hybridMultilevel"/>
    <w:tmpl w:val="61D22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70D6A"/>
    <w:multiLevelType w:val="hybridMultilevel"/>
    <w:tmpl w:val="8DD6C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C11D33"/>
    <w:multiLevelType w:val="hybridMultilevel"/>
    <w:tmpl w:val="107A83C6"/>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11" w15:restartNumberingAfterBreak="0">
    <w:nsid w:val="204D5B84"/>
    <w:multiLevelType w:val="hybridMultilevel"/>
    <w:tmpl w:val="4CFCD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37490A"/>
    <w:multiLevelType w:val="hybridMultilevel"/>
    <w:tmpl w:val="86667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AE37248"/>
    <w:multiLevelType w:val="hybridMultilevel"/>
    <w:tmpl w:val="180CD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286667"/>
    <w:multiLevelType w:val="hybridMultilevel"/>
    <w:tmpl w:val="84F893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37E2B60"/>
    <w:multiLevelType w:val="hybridMultilevel"/>
    <w:tmpl w:val="C00AF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916AC0"/>
    <w:multiLevelType w:val="hybridMultilevel"/>
    <w:tmpl w:val="48BE14F0"/>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start w:val="1"/>
      <w:numFmt w:val="bullet"/>
      <w:lvlText w:val=""/>
      <w:lvlJc w:val="left"/>
      <w:pPr>
        <w:ind w:left="2206" w:hanging="360"/>
      </w:pPr>
      <w:rPr>
        <w:rFonts w:ascii="Wingdings" w:hAnsi="Wingdings" w:hint="default"/>
      </w:rPr>
    </w:lvl>
    <w:lvl w:ilvl="3" w:tplc="04090001">
      <w:start w:val="1"/>
      <w:numFmt w:val="bullet"/>
      <w:lvlText w:val=""/>
      <w:lvlJc w:val="left"/>
      <w:pPr>
        <w:ind w:left="2926" w:hanging="360"/>
      </w:pPr>
      <w:rPr>
        <w:rFonts w:ascii="Symbol" w:hAnsi="Symbol" w:hint="default"/>
      </w:rPr>
    </w:lvl>
    <w:lvl w:ilvl="4" w:tplc="04090003">
      <w:start w:val="1"/>
      <w:numFmt w:val="bullet"/>
      <w:lvlText w:val="o"/>
      <w:lvlJc w:val="left"/>
      <w:pPr>
        <w:ind w:left="3646" w:hanging="360"/>
      </w:pPr>
      <w:rPr>
        <w:rFonts w:ascii="Courier New" w:hAnsi="Courier New" w:cs="Courier New" w:hint="default"/>
      </w:rPr>
    </w:lvl>
    <w:lvl w:ilvl="5" w:tplc="04090005">
      <w:start w:val="1"/>
      <w:numFmt w:val="bullet"/>
      <w:lvlText w:val=""/>
      <w:lvlJc w:val="left"/>
      <w:pPr>
        <w:ind w:left="4366" w:hanging="360"/>
      </w:pPr>
      <w:rPr>
        <w:rFonts w:ascii="Wingdings" w:hAnsi="Wingdings" w:hint="default"/>
      </w:rPr>
    </w:lvl>
    <w:lvl w:ilvl="6" w:tplc="04090001">
      <w:start w:val="1"/>
      <w:numFmt w:val="bullet"/>
      <w:lvlText w:val=""/>
      <w:lvlJc w:val="left"/>
      <w:pPr>
        <w:ind w:left="5086" w:hanging="360"/>
      </w:pPr>
      <w:rPr>
        <w:rFonts w:ascii="Symbol" w:hAnsi="Symbol" w:hint="default"/>
      </w:rPr>
    </w:lvl>
    <w:lvl w:ilvl="7" w:tplc="04090003">
      <w:start w:val="1"/>
      <w:numFmt w:val="bullet"/>
      <w:lvlText w:val="o"/>
      <w:lvlJc w:val="left"/>
      <w:pPr>
        <w:ind w:left="5806" w:hanging="360"/>
      </w:pPr>
      <w:rPr>
        <w:rFonts w:ascii="Courier New" w:hAnsi="Courier New" w:cs="Courier New" w:hint="default"/>
      </w:rPr>
    </w:lvl>
    <w:lvl w:ilvl="8" w:tplc="04090005">
      <w:start w:val="1"/>
      <w:numFmt w:val="bullet"/>
      <w:lvlText w:val=""/>
      <w:lvlJc w:val="left"/>
      <w:pPr>
        <w:ind w:left="6526" w:hanging="360"/>
      </w:pPr>
      <w:rPr>
        <w:rFonts w:ascii="Wingdings" w:hAnsi="Wingdings" w:hint="default"/>
      </w:rPr>
    </w:lvl>
  </w:abstractNum>
  <w:abstractNum w:abstractNumId="1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10B7F0A"/>
    <w:multiLevelType w:val="hybridMultilevel"/>
    <w:tmpl w:val="0A04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370291"/>
    <w:multiLevelType w:val="hybridMultilevel"/>
    <w:tmpl w:val="4008F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73F6E2E"/>
    <w:multiLevelType w:val="hybridMultilevel"/>
    <w:tmpl w:val="C54C9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BB66AD"/>
    <w:multiLevelType w:val="hybridMultilevel"/>
    <w:tmpl w:val="904A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85524"/>
    <w:multiLevelType w:val="hybridMultilevel"/>
    <w:tmpl w:val="C7BCF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586D8B"/>
    <w:multiLevelType w:val="hybridMultilevel"/>
    <w:tmpl w:val="59A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2" w15:restartNumberingAfterBreak="0">
    <w:nsid w:val="69FE78C7"/>
    <w:multiLevelType w:val="hybridMultilevel"/>
    <w:tmpl w:val="CE204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45547220">
    <w:abstractNumId w:val="0"/>
  </w:num>
  <w:num w:numId="2" w16cid:durableId="1295673137">
    <w:abstractNumId w:val="18"/>
  </w:num>
  <w:num w:numId="3" w16cid:durableId="245385453">
    <w:abstractNumId w:val="23"/>
  </w:num>
  <w:num w:numId="4" w16cid:durableId="1372222902">
    <w:abstractNumId w:val="11"/>
  </w:num>
  <w:num w:numId="5" w16cid:durableId="1463040835">
    <w:abstractNumId w:val="2"/>
  </w:num>
  <w:num w:numId="6" w16cid:durableId="1131243773">
    <w:abstractNumId w:val="29"/>
  </w:num>
  <w:num w:numId="7" w16cid:durableId="1461680898">
    <w:abstractNumId w:val="19"/>
  </w:num>
  <w:num w:numId="8" w16cid:durableId="517814918">
    <w:abstractNumId w:val="22"/>
  </w:num>
  <w:num w:numId="9" w16cid:durableId="605045472">
    <w:abstractNumId w:val="17"/>
  </w:num>
  <w:num w:numId="10" w16cid:durableId="1293292375">
    <w:abstractNumId w:val="15"/>
  </w:num>
  <w:num w:numId="11" w16cid:durableId="531576559">
    <w:abstractNumId w:val="7"/>
  </w:num>
  <w:num w:numId="12" w16cid:durableId="826090439">
    <w:abstractNumId w:val="13"/>
  </w:num>
  <w:num w:numId="13" w16cid:durableId="213202989">
    <w:abstractNumId w:val="34"/>
  </w:num>
  <w:num w:numId="14" w16cid:durableId="870873940">
    <w:abstractNumId w:val="8"/>
  </w:num>
  <w:num w:numId="15" w16cid:durableId="306326435">
    <w:abstractNumId w:val="6"/>
  </w:num>
  <w:num w:numId="16" w16cid:durableId="1330789862">
    <w:abstractNumId w:val="1"/>
  </w:num>
  <w:num w:numId="17" w16cid:durableId="1430855624">
    <w:abstractNumId w:val="32"/>
  </w:num>
  <w:num w:numId="18" w16cid:durableId="1770420696">
    <w:abstractNumId w:val="10"/>
  </w:num>
  <w:num w:numId="19" w16cid:durableId="638925823">
    <w:abstractNumId w:val="25"/>
  </w:num>
  <w:num w:numId="20" w16cid:durableId="1980765719">
    <w:abstractNumId w:val="9"/>
  </w:num>
  <w:num w:numId="21" w16cid:durableId="354305696">
    <w:abstractNumId w:val="16"/>
  </w:num>
  <w:num w:numId="22" w16cid:durableId="705258972">
    <w:abstractNumId w:val="20"/>
  </w:num>
  <w:num w:numId="23" w16cid:durableId="133641701">
    <w:abstractNumId w:val="24"/>
  </w:num>
  <w:num w:numId="24" w16cid:durableId="1173032017">
    <w:abstractNumId w:val="14"/>
  </w:num>
  <w:num w:numId="25" w16cid:durableId="869295784">
    <w:abstractNumId w:val="4"/>
  </w:num>
  <w:num w:numId="26" w16cid:durableId="217320947">
    <w:abstractNumId w:val="5"/>
  </w:num>
  <w:num w:numId="27" w16cid:durableId="1544442917">
    <w:abstractNumId w:val="30"/>
  </w:num>
  <w:num w:numId="28" w16cid:durableId="1162432903">
    <w:abstractNumId w:val="12"/>
  </w:num>
  <w:num w:numId="29" w16cid:durableId="26100690">
    <w:abstractNumId w:val="28"/>
  </w:num>
  <w:num w:numId="30" w16cid:durableId="608007041">
    <w:abstractNumId w:val="33"/>
  </w:num>
  <w:num w:numId="31" w16cid:durableId="1566181934">
    <w:abstractNumId w:val="3"/>
  </w:num>
  <w:num w:numId="32" w16cid:durableId="939944857">
    <w:abstractNumId w:val="27"/>
  </w:num>
  <w:num w:numId="33" w16cid:durableId="533423329">
    <w:abstractNumId w:val="26"/>
  </w:num>
  <w:num w:numId="34" w16cid:durableId="1702707125">
    <w:abstractNumId w:val="21"/>
  </w:num>
  <w:num w:numId="35" w16cid:durableId="986789538">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06FFE"/>
    <w:rsid w:val="00021D6E"/>
    <w:rsid w:val="00021F41"/>
    <w:rsid w:val="00060291"/>
    <w:rsid w:val="00084504"/>
    <w:rsid w:val="000851E7"/>
    <w:rsid w:val="000A1909"/>
    <w:rsid w:val="000A2F14"/>
    <w:rsid w:val="000A60ED"/>
    <w:rsid w:val="000E30ED"/>
    <w:rsid w:val="00122C70"/>
    <w:rsid w:val="0015468B"/>
    <w:rsid w:val="001716CE"/>
    <w:rsid w:val="00184BD0"/>
    <w:rsid w:val="001905AF"/>
    <w:rsid w:val="001A5717"/>
    <w:rsid w:val="001D3923"/>
    <w:rsid w:val="001D7163"/>
    <w:rsid w:val="001E4337"/>
    <w:rsid w:val="00226209"/>
    <w:rsid w:val="0023766E"/>
    <w:rsid w:val="00241321"/>
    <w:rsid w:val="0025433B"/>
    <w:rsid w:val="002548E6"/>
    <w:rsid w:val="002662E3"/>
    <w:rsid w:val="00275881"/>
    <w:rsid w:val="002D719B"/>
    <w:rsid w:val="002F3CE9"/>
    <w:rsid w:val="00303A87"/>
    <w:rsid w:val="0030732C"/>
    <w:rsid w:val="003210C6"/>
    <w:rsid w:val="00346E6B"/>
    <w:rsid w:val="003976BE"/>
    <w:rsid w:val="003D3BEE"/>
    <w:rsid w:val="003D4627"/>
    <w:rsid w:val="003E3705"/>
    <w:rsid w:val="003F2720"/>
    <w:rsid w:val="003F7724"/>
    <w:rsid w:val="00431006"/>
    <w:rsid w:val="00431501"/>
    <w:rsid w:val="00431BE9"/>
    <w:rsid w:val="0044061D"/>
    <w:rsid w:val="00491EBA"/>
    <w:rsid w:val="004A4650"/>
    <w:rsid w:val="004B588D"/>
    <w:rsid w:val="004F4D85"/>
    <w:rsid w:val="004F7BA8"/>
    <w:rsid w:val="00503E15"/>
    <w:rsid w:val="005057C4"/>
    <w:rsid w:val="0050593E"/>
    <w:rsid w:val="00556DBD"/>
    <w:rsid w:val="00557396"/>
    <w:rsid w:val="005635BB"/>
    <w:rsid w:val="00570281"/>
    <w:rsid w:val="00576522"/>
    <w:rsid w:val="005A2726"/>
    <w:rsid w:val="005B1D78"/>
    <w:rsid w:val="00600590"/>
    <w:rsid w:val="00606763"/>
    <w:rsid w:val="00655D81"/>
    <w:rsid w:val="00672C00"/>
    <w:rsid w:val="00673F63"/>
    <w:rsid w:val="00676CD1"/>
    <w:rsid w:val="0067722E"/>
    <w:rsid w:val="006A5206"/>
    <w:rsid w:val="006C266D"/>
    <w:rsid w:val="006C6D69"/>
    <w:rsid w:val="006E53C6"/>
    <w:rsid w:val="00714074"/>
    <w:rsid w:val="00716E8F"/>
    <w:rsid w:val="00743898"/>
    <w:rsid w:val="00744F99"/>
    <w:rsid w:val="00763A34"/>
    <w:rsid w:val="00781DD5"/>
    <w:rsid w:val="00784BA6"/>
    <w:rsid w:val="00792998"/>
    <w:rsid w:val="007A63FA"/>
    <w:rsid w:val="007B39ED"/>
    <w:rsid w:val="0083540A"/>
    <w:rsid w:val="00836EF2"/>
    <w:rsid w:val="00884439"/>
    <w:rsid w:val="008A18C8"/>
    <w:rsid w:val="008A6337"/>
    <w:rsid w:val="008C065D"/>
    <w:rsid w:val="008E3593"/>
    <w:rsid w:val="00905082"/>
    <w:rsid w:val="00914B21"/>
    <w:rsid w:val="00922457"/>
    <w:rsid w:val="00925C4F"/>
    <w:rsid w:val="00932697"/>
    <w:rsid w:val="009366FD"/>
    <w:rsid w:val="00953F61"/>
    <w:rsid w:val="00971D4F"/>
    <w:rsid w:val="009C1B6C"/>
    <w:rsid w:val="009C66A2"/>
    <w:rsid w:val="009D0133"/>
    <w:rsid w:val="009E1E85"/>
    <w:rsid w:val="009E3DB7"/>
    <w:rsid w:val="009E5063"/>
    <w:rsid w:val="009F6087"/>
    <w:rsid w:val="00A01B96"/>
    <w:rsid w:val="00A17BEA"/>
    <w:rsid w:val="00A17DD2"/>
    <w:rsid w:val="00A316C9"/>
    <w:rsid w:val="00A40663"/>
    <w:rsid w:val="00A42238"/>
    <w:rsid w:val="00A43AA9"/>
    <w:rsid w:val="00A448D2"/>
    <w:rsid w:val="00A90297"/>
    <w:rsid w:val="00AA2E73"/>
    <w:rsid w:val="00AC0A67"/>
    <w:rsid w:val="00AD4009"/>
    <w:rsid w:val="00AE467A"/>
    <w:rsid w:val="00B01671"/>
    <w:rsid w:val="00B02C9F"/>
    <w:rsid w:val="00B32BED"/>
    <w:rsid w:val="00B35897"/>
    <w:rsid w:val="00B3722D"/>
    <w:rsid w:val="00B53DC0"/>
    <w:rsid w:val="00B66555"/>
    <w:rsid w:val="00B8306C"/>
    <w:rsid w:val="00B9073A"/>
    <w:rsid w:val="00B93343"/>
    <w:rsid w:val="00B9698B"/>
    <w:rsid w:val="00BA7862"/>
    <w:rsid w:val="00BD1418"/>
    <w:rsid w:val="00BD47DF"/>
    <w:rsid w:val="00BE15BB"/>
    <w:rsid w:val="00C031C3"/>
    <w:rsid w:val="00C10D36"/>
    <w:rsid w:val="00C1419D"/>
    <w:rsid w:val="00C31D45"/>
    <w:rsid w:val="00C46EAA"/>
    <w:rsid w:val="00C567A9"/>
    <w:rsid w:val="00C75D1E"/>
    <w:rsid w:val="00C97612"/>
    <w:rsid w:val="00CB05AA"/>
    <w:rsid w:val="00CB1727"/>
    <w:rsid w:val="00CC10EE"/>
    <w:rsid w:val="00CD2862"/>
    <w:rsid w:val="00CF6D54"/>
    <w:rsid w:val="00D0763A"/>
    <w:rsid w:val="00D1450B"/>
    <w:rsid w:val="00D542B4"/>
    <w:rsid w:val="00D616A3"/>
    <w:rsid w:val="00D63050"/>
    <w:rsid w:val="00D67CFC"/>
    <w:rsid w:val="00D75F57"/>
    <w:rsid w:val="00D86AA7"/>
    <w:rsid w:val="00DA2FD9"/>
    <w:rsid w:val="00DE1B8A"/>
    <w:rsid w:val="00DE426C"/>
    <w:rsid w:val="00DE5690"/>
    <w:rsid w:val="00DE5A5E"/>
    <w:rsid w:val="00E1506C"/>
    <w:rsid w:val="00E551FD"/>
    <w:rsid w:val="00E8201B"/>
    <w:rsid w:val="00E83DAE"/>
    <w:rsid w:val="00E84E4F"/>
    <w:rsid w:val="00EA489F"/>
    <w:rsid w:val="00EE215E"/>
    <w:rsid w:val="00EF1059"/>
    <w:rsid w:val="00F60DBB"/>
    <w:rsid w:val="00FA0EF5"/>
    <w:rsid w:val="00FB1280"/>
    <w:rsid w:val="00FB3F48"/>
    <w:rsid w:val="00FC1B8C"/>
    <w:rsid w:val="00FC50C3"/>
    <w:rsid w:val="00FE0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78845F"/>
  <w15:chartTrackingRefBased/>
  <w15:docId w15:val="{3C0A3808-4079-4419-A2B2-A04BADCD8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396"/>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
    <w:qFormat/>
    <w:rsid w:val="005573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5739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557396"/>
    <w:pPr>
      <w:numPr>
        <w:ilvl w:val="2"/>
      </w:numPr>
      <w:spacing w:before="120"/>
      <w:outlineLvl w:val="2"/>
    </w:pPr>
    <w:rPr>
      <w:sz w:val="28"/>
      <w:szCs w:val="28"/>
    </w:rPr>
  </w:style>
  <w:style w:type="paragraph" w:styleId="Heading4">
    <w:name w:val="heading 4"/>
    <w:basedOn w:val="Heading3"/>
    <w:next w:val="Normal"/>
    <w:link w:val="Heading4Char"/>
    <w:qFormat/>
    <w:rsid w:val="00557396"/>
    <w:pPr>
      <w:numPr>
        <w:ilvl w:val="3"/>
      </w:numPr>
      <w:outlineLvl w:val="3"/>
    </w:pPr>
    <w:rPr>
      <w:sz w:val="24"/>
      <w:szCs w:val="24"/>
    </w:rPr>
  </w:style>
  <w:style w:type="paragraph" w:styleId="Heading5">
    <w:name w:val="heading 5"/>
    <w:basedOn w:val="Heading4"/>
    <w:next w:val="Normal"/>
    <w:link w:val="Heading5Char"/>
    <w:qFormat/>
    <w:rsid w:val="00557396"/>
    <w:pPr>
      <w:numPr>
        <w:ilvl w:val="4"/>
      </w:numPr>
      <w:outlineLvl w:val="4"/>
    </w:pPr>
    <w:rPr>
      <w:sz w:val="22"/>
      <w:szCs w:val="22"/>
    </w:rPr>
  </w:style>
  <w:style w:type="paragraph" w:styleId="Heading6">
    <w:name w:val="heading 6"/>
    <w:basedOn w:val="Normal"/>
    <w:next w:val="Normal"/>
    <w:link w:val="Heading6Char"/>
    <w:qFormat/>
    <w:rsid w:val="0055739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5739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57396"/>
    <w:pPr>
      <w:numPr>
        <w:ilvl w:val="7"/>
      </w:numPr>
      <w:outlineLvl w:val="7"/>
    </w:pPr>
  </w:style>
  <w:style w:type="paragraph" w:styleId="Heading9">
    <w:name w:val="heading 9"/>
    <w:basedOn w:val="Heading8"/>
    <w:next w:val="Normal"/>
    <w:link w:val="Heading9Char"/>
    <w:qFormat/>
    <w:rsid w:val="0055739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7396"/>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57396"/>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557396"/>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557396"/>
    <w:rPr>
      <w:rFonts w:ascii="Times New Roman" w:eastAsia="Malgun Gothic" w:hAnsi="Times New Roman" w:cs="Times New Roman"/>
      <w:sz w:val="24"/>
      <w:szCs w:val="24"/>
    </w:rPr>
  </w:style>
  <w:style w:type="character" w:customStyle="1" w:styleId="Heading5Char">
    <w:name w:val="Heading 5 Char"/>
    <w:basedOn w:val="DefaultParagraphFont"/>
    <w:link w:val="Heading5"/>
    <w:rsid w:val="00557396"/>
    <w:rPr>
      <w:rFonts w:ascii="Times New Roman" w:eastAsia="Malgun Gothic" w:hAnsi="Times New Roman" w:cs="Times New Roman"/>
    </w:rPr>
  </w:style>
  <w:style w:type="character" w:customStyle="1" w:styleId="Heading6Char">
    <w:name w:val="Heading 6 Char"/>
    <w:basedOn w:val="DefaultParagraphFont"/>
    <w:link w:val="Heading6"/>
    <w:rsid w:val="00557396"/>
    <w:rPr>
      <w:rFonts w:ascii="Times New Roman" w:eastAsia="Times New Roman" w:hAnsi="Times New Roman" w:cs="Arial"/>
      <w:sz w:val="24"/>
      <w:szCs w:val="24"/>
    </w:rPr>
  </w:style>
  <w:style w:type="character" w:customStyle="1" w:styleId="Heading7Char">
    <w:name w:val="Heading 7 Char"/>
    <w:basedOn w:val="DefaultParagraphFont"/>
    <w:link w:val="Heading7"/>
    <w:rsid w:val="00557396"/>
    <w:rPr>
      <w:rFonts w:ascii="Times New Roman" w:eastAsia="Times New Roman" w:hAnsi="Times New Roman" w:cs="Arial"/>
      <w:sz w:val="24"/>
      <w:szCs w:val="24"/>
    </w:rPr>
  </w:style>
  <w:style w:type="character" w:customStyle="1" w:styleId="Heading8Char">
    <w:name w:val="Heading 8 Char"/>
    <w:basedOn w:val="DefaultParagraphFont"/>
    <w:link w:val="Heading8"/>
    <w:rsid w:val="00557396"/>
    <w:rPr>
      <w:rFonts w:ascii="Times New Roman" w:eastAsia="Times New Roman" w:hAnsi="Times New Roman" w:cs="Arial"/>
      <w:sz w:val="24"/>
      <w:szCs w:val="24"/>
    </w:rPr>
  </w:style>
  <w:style w:type="character" w:customStyle="1" w:styleId="Heading9Char">
    <w:name w:val="Heading 9 Char"/>
    <w:basedOn w:val="DefaultParagraphFont"/>
    <w:link w:val="Heading9"/>
    <w:rsid w:val="00557396"/>
    <w:rPr>
      <w:rFonts w:ascii="Times New Roman" w:eastAsia="Times New Roman" w:hAnsi="Times New Roman" w:cs="Arial"/>
      <w:sz w:val="24"/>
      <w:szCs w:val="24"/>
    </w:rPr>
  </w:style>
  <w:style w:type="paragraph" w:customStyle="1" w:styleId="3GPPHeader">
    <w:name w:val="3GPP_Header"/>
    <w:basedOn w:val="Normal"/>
    <w:rsid w:val="00557396"/>
    <w:pPr>
      <w:tabs>
        <w:tab w:val="left" w:pos="1701"/>
        <w:tab w:val="right" w:pos="9639"/>
      </w:tabs>
      <w:spacing w:after="240"/>
    </w:pPr>
    <w:rPr>
      <w:b/>
    </w:rPr>
  </w:style>
  <w:style w:type="paragraph" w:customStyle="1" w:styleId="0Maintext">
    <w:name w:val="0 Main text"/>
    <w:basedOn w:val="Normal"/>
    <w:link w:val="0MaintextChar"/>
    <w:qFormat/>
    <w:rsid w:val="00557396"/>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557396"/>
    <w:rPr>
      <w:rFonts w:ascii="Times New Roman" w:eastAsia="Times New Roman" w:hAnsi="Times New Roman" w:cs="Batang"/>
      <w:sz w:val="20"/>
      <w:szCs w:val="20"/>
      <w:lang w:val="en-GB" w:eastAsia="en-US"/>
    </w:rPr>
  </w:style>
  <w:style w:type="table" w:styleId="TableGrid">
    <w:name w:val="Table Grid"/>
    <w:basedOn w:val="TableNormal"/>
    <w:uiPriority w:val="39"/>
    <w:rsid w:val="0055739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57396"/>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557396"/>
    <w:rPr>
      <w:rFonts w:ascii="Times" w:eastAsia="Batang" w:hAnsi="Times" w:cs="Times New Roman"/>
      <w:sz w:val="20"/>
      <w:szCs w:val="24"/>
      <w:lang w:val="en-GB" w:eastAsia="x-none"/>
    </w:rPr>
  </w:style>
  <w:style w:type="character" w:customStyle="1" w:styleId="apple-converted-space">
    <w:name w:val="apple-converted-space"/>
    <w:basedOn w:val="DefaultParagraphFont"/>
    <w:qFormat/>
    <w:rsid w:val="00557396"/>
  </w:style>
  <w:style w:type="character" w:styleId="Emphasis">
    <w:name w:val="Emphasis"/>
    <w:basedOn w:val="DefaultParagraphFont"/>
    <w:uiPriority w:val="20"/>
    <w:qFormat/>
    <w:rsid w:val="00557396"/>
    <w:rPr>
      <w:i/>
      <w:iCs/>
    </w:rPr>
  </w:style>
  <w:style w:type="paragraph" w:customStyle="1" w:styleId="CRCoverPage">
    <w:name w:val="CR Cover Page"/>
    <w:link w:val="CRCoverPageZchn"/>
    <w:rsid w:val="00557396"/>
    <w:pPr>
      <w:spacing w:after="120" w:line="240" w:lineRule="auto"/>
    </w:pPr>
    <w:rPr>
      <w:rFonts w:ascii="Arial" w:hAnsi="Arial" w:cs="Times New Roman"/>
      <w:sz w:val="20"/>
      <w:szCs w:val="20"/>
      <w:lang w:val="en-GB" w:eastAsia="en-US"/>
    </w:rPr>
  </w:style>
  <w:style w:type="character" w:customStyle="1" w:styleId="CRCoverPageZchn">
    <w:name w:val="CR Cover Page Zchn"/>
    <w:link w:val="CRCoverPage"/>
    <w:rsid w:val="00557396"/>
    <w:rPr>
      <w:rFonts w:ascii="Arial" w:hAnsi="Arial" w:cs="Times New Roman"/>
      <w:sz w:val="20"/>
      <w:szCs w:val="20"/>
      <w:lang w:val="en-GB" w:eastAsia="en-US"/>
    </w:rPr>
  </w:style>
  <w:style w:type="character" w:styleId="Strong">
    <w:name w:val="Strong"/>
    <w:uiPriority w:val="22"/>
    <w:qFormat/>
    <w:rsid w:val="00557396"/>
    <w:rPr>
      <w:b/>
      <w:bCs/>
    </w:rPr>
  </w:style>
  <w:style w:type="paragraph" w:customStyle="1" w:styleId="B1">
    <w:name w:val="B1"/>
    <w:basedOn w:val="Normal"/>
    <w:link w:val="B1Zchn"/>
    <w:qFormat/>
    <w:rsid w:val="00557396"/>
    <w:pPr>
      <w:spacing w:after="180"/>
      <w:ind w:left="568" w:hanging="284"/>
    </w:pPr>
    <w:rPr>
      <w:sz w:val="20"/>
      <w:szCs w:val="20"/>
      <w:lang w:val="x-none" w:eastAsia="en-US"/>
    </w:rPr>
  </w:style>
  <w:style w:type="character" w:customStyle="1" w:styleId="B1Zchn">
    <w:name w:val="B1 Zchn"/>
    <w:link w:val="B1"/>
    <w:qFormat/>
    <w:rsid w:val="00557396"/>
    <w:rPr>
      <w:rFonts w:ascii="Times New Roman" w:eastAsia="Times New Roman" w:hAnsi="Times New Roman" w:cs="Times New Roman"/>
      <w:sz w:val="20"/>
      <w:szCs w:val="20"/>
      <w:lang w:val="x-none" w:eastAsia="en-US"/>
    </w:rPr>
  </w:style>
  <w:style w:type="paragraph" w:customStyle="1" w:styleId="B2">
    <w:name w:val="B2"/>
    <w:basedOn w:val="Normal"/>
    <w:link w:val="B2Char"/>
    <w:uiPriority w:val="99"/>
    <w:qFormat/>
    <w:rsid w:val="00557396"/>
    <w:pPr>
      <w:spacing w:after="180"/>
      <w:ind w:left="851" w:hanging="284"/>
    </w:pPr>
    <w:rPr>
      <w:sz w:val="20"/>
      <w:szCs w:val="20"/>
      <w:lang w:val="x-none" w:eastAsia="en-US"/>
    </w:rPr>
  </w:style>
  <w:style w:type="character" w:customStyle="1" w:styleId="B2Char">
    <w:name w:val="B2 Char"/>
    <w:link w:val="B2"/>
    <w:uiPriority w:val="99"/>
    <w:qFormat/>
    <w:rsid w:val="00557396"/>
    <w:rPr>
      <w:rFonts w:ascii="Times New Roman" w:eastAsia="Times New Roman" w:hAnsi="Times New Roman" w:cs="Times New Roman"/>
      <w:sz w:val="20"/>
      <w:szCs w:val="20"/>
      <w:lang w:val="x-none" w:eastAsia="en-US"/>
    </w:rPr>
  </w:style>
  <w:style w:type="paragraph" w:customStyle="1" w:styleId="EQ">
    <w:name w:val="EQ"/>
    <w:basedOn w:val="Normal"/>
    <w:next w:val="Normal"/>
    <w:qFormat/>
    <w:rsid w:val="00557396"/>
    <w:pPr>
      <w:keepLines/>
      <w:tabs>
        <w:tab w:val="center" w:pos="4536"/>
        <w:tab w:val="right" w:pos="9072"/>
      </w:tabs>
      <w:spacing w:after="180"/>
    </w:pPr>
    <w:rPr>
      <w:rFonts w:eastAsia="SimSun"/>
      <w:noProof/>
      <w:sz w:val="20"/>
      <w:szCs w:val="20"/>
      <w:lang w:val="en-GB" w:eastAsia="en-US"/>
    </w:rPr>
  </w:style>
  <w:style w:type="paragraph" w:styleId="Caption">
    <w:name w:val="caption"/>
    <w:aliases w:val="cap,cap Char,Caption Char,Caption Char1 Char,cap Char Char1,Caption Char Char1 Char,cap Char2,条目"/>
    <w:basedOn w:val="Normal"/>
    <w:next w:val="Normal"/>
    <w:link w:val="CaptionChar1"/>
    <w:uiPriority w:val="99"/>
    <w:qFormat/>
    <w:rsid w:val="0050593E"/>
    <w:pPr>
      <w:suppressAutoHyphens/>
      <w:overflowPunct w:val="0"/>
      <w:autoSpaceDE w:val="0"/>
      <w:spacing w:before="120" w:after="120"/>
      <w:textAlignment w:val="baseline"/>
    </w:pPr>
    <w:rPr>
      <w:b/>
      <w:sz w:val="20"/>
      <w:szCs w:val="20"/>
      <w:lang w:val="en-GB" w:eastAsia="ar-SA"/>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qFormat/>
    <w:rsid w:val="0050593E"/>
    <w:rPr>
      <w:rFonts w:ascii="Times New Roman" w:eastAsia="Times New Roman" w:hAnsi="Times New Roman" w:cs="Times New Roman"/>
      <w:b/>
      <w:sz w:val="20"/>
      <w:szCs w:val="20"/>
      <w:lang w:val="en-GB" w:eastAsia="ar-SA"/>
    </w:rPr>
  </w:style>
  <w:style w:type="character" w:customStyle="1" w:styleId="mc-span">
    <w:name w:val="mc-span"/>
    <w:rsid w:val="0050593E"/>
  </w:style>
  <w:style w:type="character" w:styleId="PlaceholderText">
    <w:name w:val="Placeholder Text"/>
    <w:basedOn w:val="DefaultParagraphFont"/>
    <w:uiPriority w:val="99"/>
    <w:semiHidden/>
    <w:rsid w:val="00C10D36"/>
    <w:rPr>
      <w:color w:val="808080"/>
    </w:rPr>
  </w:style>
  <w:style w:type="paragraph" w:customStyle="1" w:styleId="TAL">
    <w:name w:val="TAL"/>
    <w:basedOn w:val="Normal"/>
    <w:link w:val="TALChar"/>
    <w:qFormat/>
    <w:rsid w:val="00AE467A"/>
    <w:pPr>
      <w:keepNext/>
      <w:keepLines/>
    </w:pPr>
    <w:rPr>
      <w:rFonts w:ascii="Arial" w:eastAsia="MS Mincho" w:hAnsi="Arial"/>
      <w:sz w:val="18"/>
      <w:szCs w:val="20"/>
      <w:lang w:val="en-GB" w:eastAsia="en-US"/>
    </w:rPr>
  </w:style>
  <w:style w:type="paragraph" w:customStyle="1" w:styleId="TAH">
    <w:name w:val="TAH"/>
    <w:basedOn w:val="Normal"/>
    <w:link w:val="TAHCar"/>
    <w:qFormat/>
    <w:rsid w:val="00AE467A"/>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sid w:val="00AE467A"/>
    <w:rPr>
      <w:rFonts w:ascii="Arial" w:eastAsia="MS Mincho" w:hAnsi="Arial" w:cs="Times New Roman"/>
      <w:sz w:val="18"/>
      <w:szCs w:val="20"/>
      <w:lang w:val="en-GB" w:eastAsia="en-US"/>
    </w:rPr>
  </w:style>
  <w:style w:type="paragraph" w:customStyle="1" w:styleId="TH">
    <w:name w:val="TH"/>
    <w:basedOn w:val="Normal"/>
    <w:link w:val="THChar"/>
    <w:qFormat/>
    <w:rsid w:val="00AE467A"/>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AE467A"/>
    <w:rPr>
      <w:rFonts w:ascii="Arial" w:eastAsia="Times New Roman" w:hAnsi="Arial" w:cs="Times New Roman"/>
      <w:b/>
      <w:sz w:val="20"/>
      <w:szCs w:val="20"/>
      <w:lang w:val="en-GB" w:eastAsia="en-GB"/>
    </w:rPr>
  </w:style>
  <w:style w:type="character" w:customStyle="1" w:styleId="TAHCar">
    <w:name w:val="TAH Car"/>
    <w:link w:val="TAH"/>
    <w:qFormat/>
    <w:locked/>
    <w:rsid w:val="00AE467A"/>
    <w:rPr>
      <w:rFonts w:ascii="Arial" w:eastAsia="Times New Roman" w:hAnsi="Arial" w:cs="Times New Roman"/>
      <w:b/>
      <w:sz w:val="18"/>
      <w:szCs w:val="20"/>
      <w:lang w:val="en-GB" w:eastAsia="en-GB"/>
    </w:rPr>
  </w:style>
  <w:style w:type="paragraph" w:customStyle="1" w:styleId="TAN">
    <w:name w:val="TAN"/>
    <w:basedOn w:val="Normal"/>
    <w:link w:val="TANChar"/>
    <w:qFormat/>
    <w:rsid w:val="00AE467A"/>
    <w:pPr>
      <w:keepNext/>
      <w:ind w:left="851" w:hanging="851"/>
    </w:pPr>
    <w:rPr>
      <w:rFonts w:ascii="Arial" w:eastAsia="Malgun Gothic" w:hAnsi="Arial" w:cs="Arial"/>
      <w:sz w:val="18"/>
      <w:szCs w:val="18"/>
      <w:lang w:eastAsia="en-US"/>
    </w:rPr>
  </w:style>
  <w:style w:type="character" w:customStyle="1" w:styleId="TANChar">
    <w:name w:val="TAN Char"/>
    <w:link w:val="TAN"/>
    <w:qFormat/>
    <w:locked/>
    <w:rsid w:val="00AE467A"/>
    <w:rPr>
      <w:rFonts w:ascii="Arial" w:eastAsia="Malgun Gothic" w:hAnsi="Arial" w:cs="Arial"/>
      <w:sz w:val="18"/>
      <w:szCs w:val="18"/>
      <w:lang w:eastAsia="en-US"/>
    </w:rPr>
  </w:style>
  <w:style w:type="paragraph" w:customStyle="1" w:styleId="bullet1">
    <w:name w:val="bullet1"/>
    <w:basedOn w:val="Normal"/>
    <w:qFormat/>
    <w:rsid w:val="00AE467A"/>
    <w:pPr>
      <w:numPr>
        <w:numId w:val="2"/>
      </w:numPr>
      <w:overflowPunct w:val="0"/>
      <w:spacing w:after="120"/>
      <w:jc w:val="both"/>
    </w:pPr>
    <w:rPr>
      <w:rFonts w:eastAsia="SimSun"/>
      <w:sz w:val="20"/>
    </w:rPr>
  </w:style>
  <w:style w:type="character" w:styleId="Hyperlink">
    <w:name w:val="Hyperlink"/>
    <w:uiPriority w:val="99"/>
    <w:qFormat/>
    <w:rsid w:val="00C46EAA"/>
    <w:rPr>
      <w:color w:val="0000FF"/>
      <w:u w:val="single"/>
    </w:rPr>
  </w:style>
  <w:style w:type="table" w:styleId="GridTable5Dark-Accent2">
    <w:name w:val="Grid Table 5 Dark Accent 2"/>
    <w:basedOn w:val="TableNormal"/>
    <w:uiPriority w:val="50"/>
    <w:rsid w:val="00570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2">
    <w:name w:val="Grid Table 4 Accent 2"/>
    <w:basedOn w:val="TableNormal"/>
    <w:uiPriority w:val="49"/>
    <w:rsid w:val="0057028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emf"/><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emf"/><Relationship Id="rId33" Type="http://schemas.openxmlformats.org/officeDocument/2006/relationships/image" Target="media/image29.em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e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emf"/><Relationship Id="rId30" Type="http://schemas.openxmlformats.org/officeDocument/2006/relationships/image" Target="media/image26.emf"/><Relationship Id="rId35" Type="http://schemas.openxmlformats.org/officeDocument/2006/relationships/theme" Target="theme/theme1.xm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16</Pages>
  <Words>5606</Words>
  <Characters>31960</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37492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yushuzhang yushuzhang</dc:creator>
  <cp:keywords/>
  <dc:description/>
  <cp:lastModifiedBy>Yushu Zhang</cp:lastModifiedBy>
  <cp:revision>5</cp:revision>
  <dcterms:created xsi:type="dcterms:W3CDTF">2023-02-10T06:03:00Z</dcterms:created>
  <dcterms:modified xsi:type="dcterms:W3CDTF">2023-02-14T03:20:00Z</dcterms:modified>
</cp:coreProperties>
</file>